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5"/>
          <w:szCs w:val="45"/>
          <w:b w:val="1"/>
          <w:bCs w:val="1"/>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7486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6858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___________________________</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color w:val="auto"/>
        </w:rPr>
        <w:t>FORM 8-K</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November 4, 2026</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5"/>
          <w:szCs w:val="45"/>
          <w:b w:val="1"/>
          <w:bCs w:val="1"/>
          <w:u w:val="single" w:color="auto"/>
          <w:color w:val="auto"/>
        </w:rPr>
        <w:t>INMED PHARMACEUTICALS INC.</w:t>
      </w:r>
    </w:p>
    <w:p>
      <w:pPr>
        <w:spacing w:after="0" w:line="53"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8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45"/>
        </w:trPr>
        <w:tc>
          <w:tcPr>
            <w:tcW w:w="2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British Columbia</w:t>
            </w:r>
          </w:p>
        </w:tc>
        <w:tc>
          <w:tcPr>
            <w:tcW w:w="420" w:type="dxa"/>
            <w:vAlign w:val="bottom"/>
          </w:tcPr>
          <w:p>
            <w:pPr>
              <w:spacing w:after="0"/>
              <w:rPr>
                <w:sz w:val="24"/>
                <w:szCs w:val="24"/>
                <w:color w:val="auto"/>
              </w:rPr>
            </w:pPr>
          </w:p>
        </w:tc>
        <w:tc>
          <w:tcPr>
            <w:tcW w:w="2280" w:type="dxa"/>
            <w:vAlign w:val="bottom"/>
            <w:gridSpan w:val="3"/>
          </w:tcPr>
          <w:p>
            <w:pPr>
              <w:spacing w:after="0"/>
              <w:rPr>
                <w:sz w:val="24"/>
                <w:szCs w:val="24"/>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001-39685</w:t>
            </w: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98-1428279</w:t>
            </w:r>
          </w:p>
        </w:tc>
      </w:tr>
      <w:tr>
        <w:trPr>
          <w:trHeight w:val="20"/>
        </w:trPr>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3"/>
        </w:trPr>
        <w:tc>
          <w:tcPr>
            <w:tcW w:w="2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38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280" w:type="dxa"/>
            <w:vAlign w:val="bottom"/>
          </w:tcPr>
          <w:p>
            <w:pPr>
              <w:spacing w:after="0"/>
              <w:rPr>
                <w:sz w:val="21"/>
                <w:szCs w:val="21"/>
                <w:color w:val="auto"/>
              </w:rPr>
            </w:pPr>
          </w:p>
        </w:tc>
        <w:tc>
          <w:tcPr>
            <w:tcW w:w="17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380" w:type="dxa"/>
            <w:vAlign w:val="bottom"/>
            <w:gridSpan w:val="7"/>
          </w:tcPr>
          <w:p>
            <w:pPr>
              <w:jc w:val="center"/>
              <w:ind w:right="204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83"/>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0" w:type="dxa"/>
            <w:vAlign w:val="bottom"/>
            <w:gridSpan w:val="8"/>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Suite 1445 – 885 West Georgia Street</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8"/>
        </w:trPr>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60" w:type="dxa"/>
            <w:vAlign w:val="bottom"/>
            <w:tcBorders>
              <w:bottom w:val="single" w:sz="8" w:color="auto"/>
            </w:tcBorders>
            <w:gridSpan w:val="6"/>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Vancouver, British Columbia, Canada V6C 3E8</w:t>
            </w:r>
          </w:p>
        </w:tc>
        <w:tc>
          <w:tcPr>
            <w:tcW w:w="9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7"/>
        </w:trPr>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8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64"/>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80" w:type="dxa"/>
            <w:vAlign w:val="bottom"/>
            <w:gridSpan w:val="9"/>
          </w:tcPr>
          <w:p>
            <w:pPr>
              <w:jc w:val="center"/>
              <w:ind w:right="18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(604) 669-7207</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780" w:type="dxa"/>
            <w:vAlign w:val="bottom"/>
          </w:tcPr>
          <w:p>
            <w:pPr>
              <w:spacing w:after="0"/>
              <w:rPr>
                <w:sz w:val="24"/>
                <w:szCs w:val="24"/>
                <w:color w:val="auto"/>
              </w:rPr>
            </w:pPr>
          </w:p>
        </w:tc>
        <w:tc>
          <w:tcPr>
            <w:tcW w:w="1120" w:type="dxa"/>
            <w:vAlign w:val="bottom"/>
            <w:tcBorders>
              <w:top w:val="single" w:sz="8" w:color="auto"/>
            </w:tcBorders>
            <w:gridSpan w:val="2"/>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37"/>
        </w:trPr>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80" w:type="dxa"/>
            <w:vAlign w:val="bottom"/>
            <w:gridSpan w:val="9"/>
          </w:tcPr>
          <w:p>
            <w:pPr>
              <w:jc w:val="center"/>
              <w:ind w:right="16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5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3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980" w:firstLine="8"/>
        <w:spacing w:after="0" w:line="45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96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92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40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Borders>
              <w:bottom w:val="single" w:sz="8" w:color="auto"/>
            </w:tcBorders>
          </w:tcPr>
          <w:p>
            <w:pPr>
              <w:spacing w:after="0"/>
              <w:rPr>
                <w:sz w:val="21"/>
                <w:szCs w:val="21"/>
                <w:color w:val="auto"/>
              </w:rPr>
            </w:pPr>
          </w:p>
        </w:tc>
        <w:tc>
          <w:tcPr>
            <w:tcW w:w="560" w:type="dxa"/>
            <w:vAlign w:val="bottom"/>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4"/>
        </w:trPr>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Shares, no par value</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INM</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90170</wp:posOffset>
            </wp:positionV>
            <wp:extent cx="717486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8572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4, 2026, the Company reported results of 2026 Annual General and Special Meeting, Approval of Corporate Name Change and Completion of Share Consolidation.</w:t>
      </w:r>
    </w:p>
    <w:p>
      <w:pPr>
        <w:spacing w:after="0" w:line="13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information set forth in this Item 7.01, including Exhibits 99.1, is being furnished and shall not be deemed "filed" for purposes of Section 18 of the Securities Exchange Act of 1934, as amended (the "Exchange Act"), or otherwise subject to the liabilities of that section. The information set forth in this Item 7.01, including Exhibit 99.1, shall not be deemed incorporated by reference into any other filing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shall be deemed to be furnished, and not filed:</w:t>
      </w:r>
    </w:p>
    <w:p>
      <w:pPr>
        <w:sectPr>
          <w:pgSz w:w="11900" w:h="16838" w:orient="portrait"/>
          <w:cols w:equalWidth="0" w:num="1">
            <w:col w:w="11260"/>
          </w:cols>
          <w:pgMar w:left="320" w:top="117" w:right="319" w:bottom="1440" w:gutter="0" w:footer="0" w:header="0"/>
        </w:sectPr>
      </w:pPr>
    </w:p>
    <w:p>
      <w:pPr>
        <w:spacing w:after="0" w:line="181"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7"/>
          <w:szCs w:val="17"/>
          <w:b w:val="1"/>
          <w:bCs w:val="1"/>
          <w:color w:val="auto"/>
        </w:rPr>
        <w:t>Exhibit</w:t>
      </w:r>
    </w:p>
    <w:p>
      <w:pPr>
        <w:spacing w:after="0" w:line="43"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40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99.1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88265</wp:posOffset>
            </wp:positionV>
            <wp:extent cx="64122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8890"/>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News release, dated November 04,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-119380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as Exhibit 101)</w:t>
      </w:r>
    </w:p>
    <w:p>
      <w:pPr>
        <w:spacing w:after="0" w:line="16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ectPr>
          <w:pgSz w:w="11900" w:h="16838" w:orient="portrait"/>
          <w:cols w:equalWidth="0" w:num="2">
            <w:col w:w="740" w:space="400"/>
            <w:col w:w="10120"/>
          </w:cols>
          <w:pgMar w:left="320" w:top="117" w:right="319" w:bottom="1440" w:gutter="0" w:footer="0" w:header="0"/>
          <w:type w:val="continuous"/>
        </w:sectPr>
      </w:pP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INMED PHARMACEUTICALS INC.</w:t>
            </w:r>
          </w:p>
        </w:tc>
        <w:tc>
          <w:tcPr>
            <w:tcW w:w="20" w:type="dxa"/>
            <w:vAlign w:val="bottom"/>
          </w:tcPr>
          <w:p>
            <w:pPr>
              <w:spacing w:after="0"/>
              <w:rPr>
                <w:sz w:val="20"/>
                <w:szCs w:val="20"/>
                <w:color w:val="auto"/>
              </w:rPr>
            </w:pP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Eric A Adams</w:t>
            </w:r>
          </w:p>
        </w:tc>
        <w:tc>
          <w:tcPr>
            <w:tcW w:w="20" w:type="dxa"/>
            <w:vAlign w:val="bottom"/>
          </w:tcPr>
          <w:p>
            <w:pPr>
              <w:spacing w:after="0"/>
              <w:rPr>
                <w:sz w:val="24"/>
                <w:szCs w:val="24"/>
                <w:color w:val="auto"/>
              </w:rPr>
            </w:pPr>
          </w:p>
        </w:tc>
      </w:tr>
      <w:tr>
        <w:trPr>
          <w:trHeight w:val="191"/>
        </w:trPr>
        <w:tc>
          <w:tcPr>
            <w:tcW w:w="37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Eric A Adams</w:t>
            </w:r>
          </w:p>
        </w:tc>
        <w:tc>
          <w:tcPr>
            <w:tcW w:w="20" w:type="dxa"/>
            <w:vAlign w:val="bottom"/>
          </w:tcPr>
          <w:p>
            <w:pPr>
              <w:spacing w:after="0"/>
              <w:rPr>
                <w:sz w:val="16"/>
                <w:szCs w:val="16"/>
                <w:color w:val="auto"/>
              </w:rPr>
            </w:pP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20" w:type="dxa"/>
            <w:vAlign w:val="bottom"/>
          </w:tcPr>
          <w:p>
            <w:pPr>
              <w:spacing w:after="0"/>
              <w:rPr>
                <w:sz w:val="20"/>
                <w:szCs w:val="20"/>
                <w:color w:val="auto"/>
              </w:rPr>
            </w:pPr>
          </w:p>
        </w:tc>
      </w:tr>
      <w:tr>
        <w:trPr>
          <w:trHeight w:val="310"/>
        </w:trPr>
        <w:tc>
          <w:tcPr>
            <w:tcW w:w="37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4"/>
        </w:trPr>
        <w:tc>
          <w:tcPr>
            <w:tcW w:w="3720" w:type="dxa"/>
            <w:vAlign w:val="bottom"/>
            <w:shd w:val="clear" w:color="auto" w:fill="000000"/>
          </w:tcPr>
          <w:p>
            <w:pPr>
              <w:spacing w:after="0"/>
              <w:rPr>
                <w:sz w:val="8"/>
                <w:szCs w:val="8"/>
                <w:color w:val="auto"/>
              </w:rPr>
            </w:pPr>
          </w:p>
        </w:tc>
        <w:tc>
          <w:tcPr>
            <w:tcW w:w="2480" w:type="dxa"/>
            <w:vAlign w:val="bottom"/>
            <w:shd w:val="clear" w:color="auto" w:fill="000000"/>
          </w:tcPr>
          <w:p>
            <w:pPr>
              <w:spacing w:after="0"/>
              <w:rPr>
                <w:sz w:val="8"/>
                <w:szCs w:val="8"/>
                <w:color w:val="auto"/>
              </w:rPr>
            </w:pPr>
          </w:p>
        </w:tc>
        <w:tc>
          <w:tcPr>
            <w:tcW w:w="5040" w:type="dxa"/>
            <w:vAlign w:val="bottom"/>
            <w:shd w:val="clear" w:color="auto" w:fill="000000"/>
          </w:tcPr>
          <w:p>
            <w:pPr>
              <w:spacing w:after="0"/>
              <w:rPr>
                <w:sz w:val="8"/>
                <w:szCs w:val="8"/>
                <w:color w:val="auto"/>
              </w:rPr>
            </w:pPr>
          </w:p>
        </w:tc>
        <w:tc>
          <w:tcPr>
            <w:tcW w:w="20" w:type="dxa"/>
            <w:vAlign w:val="bottom"/>
            <w:shd w:val="clear" w:color="auto" w:fill="00000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-71755</wp:posOffset>
            </wp:positionV>
            <wp:extent cx="33655" cy="85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850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wp:posOffset>
            </wp:positionV>
            <wp:extent cx="34290" cy="85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85090"/>
                    </a:xfrm>
                    <a:prstGeom prst="rect">
                      <a:avLst/>
                    </a:prstGeom>
                    <a:noFill/>
                  </pic:spPr>
                </pic:pic>
              </a:graphicData>
            </a:graphic>
          </wp:anchor>
        </w:drawing>
      </w:r>
    </w:p>
    <w:p>
      <w:pPr>
        <w:sectPr>
          <w:pgSz w:w="11900" w:h="16838" w:orient="portrait"/>
          <w:cols w:equalWidth="0" w:num="1">
            <w:col w:w="11260"/>
          </w:cols>
          <w:pgMar w:left="320" w:top="117" w:right="319" w:bottom="1440" w:gutter="0" w:footer="0" w:header="0"/>
          <w:type w:val="continuous"/>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275" cy="27940"/>
                    </a:xfrm>
                    <a:prstGeom prst="rect">
                      <a:avLst/>
                    </a:prstGeom>
                    <a:noFill/>
                  </pic:spPr>
                </pic:pic>
              </a:graphicData>
            </a:graphic>
          </wp:anchor>
        </w:drawing>
        <w:t>NASDAQ: INM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834515" cy="9772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34515" cy="977265"/>
                    </a:xfrm>
                    <a:prstGeom prst="rect">
                      <a:avLst/>
                    </a:prstGeom>
                    <a:noFill/>
                  </pic:spPr>
                </pic:pic>
              </a:graphicData>
            </a:graphic>
          </wp:anchor>
        </w:drawing>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1800 - 510 West Georgia St.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Vancouver, BC, Canada V6B 0M3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 +1.604.669.7207</w:t>
      </w:r>
    </w:p>
    <w:p>
      <w:pPr>
        <w:spacing w:after="0" w:line="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7"/>
          <w:szCs w:val="17"/>
          <w:color w:val="auto"/>
        </w:rPr>
        <w:t>Email: info@inmedpharma.com</w:t>
      </w:r>
    </w:p>
    <w:p>
      <w:pPr>
        <w:spacing w:after="0" w:line="21"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7"/>
          <w:szCs w:val="17"/>
          <w:color w:val="auto"/>
        </w:rPr>
        <w:t>www.inmedpharma.com</w:t>
      </w:r>
    </w:p>
    <w:p>
      <w:pPr>
        <w:spacing w:after="0" w:line="192"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InMed Announces Results of 2026 Annual General and Special Meeting, Approval of Corporate Name Change and Completion of Share Consolidation</w:t>
      </w:r>
    </w:p>
    <w:p>
      <w:pPr>
        <w:spacing w:after="0" w:line="12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Vancouver, British Columbia - November 4, 2026. InMed Pharmaceuticals Inc. (now Mentari Therapeutics, Inc.) (NASDAQ: INM)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pharmaceutical company focused on developing a pipeline of proprietary small molecule drug candidates for diseases with high unmet medical needs, confirmed that, at its annual general and special meeting of shareholders held today (the "</w:t>
      </w:r>
      <w:r>
        <w:rPr>
          <w:rFonts w:ascii="Times New Roman" w:cs="Times New Roman" w:eastAsia="Times New Roman" w:hAnsi="Times New Roman"/>
          <w:sz w:val="22"/>
          <w:szCs w:val="22"/>
          <w:b w:val="1"/>
          <w:bCs w:val="1"/>
          <w:color w:val="auto"/>
        </w:rPr>
        <w:t>Meeting</w:t>
      </w:r>
      <w:r>
        <w:rPr>
          <w:rFonts w:ascii="Times New Roman" w:cs="Times New Roman" w:eastAsia="Times New Roman" w:hAnsi="Times New Roman"/>
          <w:sz w:val="22"/>
          <w:szCs w:val="22"/>
          <w:color w:val="auto"/>
        </w:rPr>
        <w:t>"), the matters put forward before shareholders for consideration and approval, as set out in the Company's proxy statement/prospectus and management information circular dated October 1, 2026 (the "</w:t>
      </w:r>
      <w:r>
        <w:rPr>
          <w:rFonts w:ascii="Times New Roman" w:cs="Times New Roman" w:eastAsia="Times New Roman" w:hAnsi="Times New Roman"/>
          <w:sz w:val="22"/>
          <w:szCs w:val="22"/>
          <w:b w:val="1"/>
          <w:bCs w:val="1"/>
          <w:color w:val="auto"/>
        </w:rPr>
        <w:t>Circular</w:t>
      </w:r>
      <w:r>
        <w:rPr>
          <w:rFonts w:ascii="Times New Roman" w:cs="Times New Roman" w:eastAsia="Times New Roman" w:hAnsi="Times New Roman"/>
          <w:sz w:val="22"/>
          <w:szCs w:val="22"/>
          <w:color w:val="auto"/>
        </w:rPr>
        <w:t>"), were voted upon by the Company's shareholders. A total of 3,630,088 common shares of the Company (each, a "</w:t>
      </w:r>
      <w:r>
        <w:rPr>
          <w:rFonts w:ascii="Times New Roman" w:cs="Times New Roman" w:eastAsia="Times New Roman" w:hAnsi="Times New Roman"/>
          <w:sz w:val="22"/>
          <w:szCs w:val="22"/>
          <w:b w:val="1"/>
          <w:bCs w:val="1"/>
          <w:color w:val="auto"/>
        </w:rPr>
        <w:t>Common Share</w:t>
      </w:r>
      <w:r>
        <w:rPr>
          <w:rFonts w:ascii="Times New Roman" w:cs="Times New Roman" w:eastAsia="Times New Roman" w:hAnsi="Times New Roman"/>
          <w:sz w:val="22"/>
          <w:szCs w:val="22"/>
          <w:color w:val="auto"/>
        </w:rPr>
        <w:t>"), representing approximately 66.08% of the Company's 5,493,735 issued and outstanding common shares, were represented in person or by proxy at the Meeting.</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item of business voted on at the Meeting was approved by the shareholders. The voting results for each item of business are set out below.</w:t>
      </w:r>
    </w:p>
    <w:p>
      <w:pPr>
        <w:spacing w:after="0" w:line="11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Further, the Company is also pleased to announce that, following the Meeting, it has completed the previously announced consolidation of its Common Shares on the basis of one (1) post-consolidation Common Share for each ten (10) pre-consolidation Common Shares (the "</w:t>
      </w:r>
      <w:r>
        <w:rPr>
          <w:rFonts w:ascii="Times New Roman" w:cs="Times New Roman" w:eastAsia="Times New Roman" w:hAnsi="Times New Roman"/>
          <w:sz w:val="22"/>
          <w:szCs w:val="22"/>
          <w:b w:val="1"/>
          <w:bCs w:val="1"/>
          <w:color w:val="auto"/>
        </w:rPr>
        <w:t>Consolidation</w:t>
      </w:r>
      <w:r>
        <w:rPr>
          <w:rFonts w:ascii="Times New Roman" w:cs="Times New Roman" w:eastAsia="Times New Roman" w:hAnsi="Times New Roman"/>
          <w:sz w:val="22"/>
          <w:szCs w:val="22"/>
          <w:color w:val="auto"/>
        </w:rPr>
        <w:t>"). Per the requirements of the Business Corporations Act (British Columbia) (the "</w:t>
      </w:r>
      <w:r>
        <w:rPr>
          <w:rFonts w:ascii="Times New Roman" w:cs="Times New Roman" w:eastAsia="Times New Roman" w:hAnsi="Times New Roman"/>
          <w:sz w:val="22"/>
          <w:szCs w:val="22"/>
          <w:b w:val="1"/>
          <w:bCs w:val="1"/>
          <w:color w:val="auto"/>
        </w:rPr>
        <w:t>BCBCA</w:t>
      </w:r>
      <w:r>
        <w:rPr>
          <w:rFonts w:ascii="Times New Roman" w:cs="Times New Roman" w:eastAsia="Times New Roman" w:hAnsi="Times New Roman"/>
          <w:sz w:val="22"/>
          <w:szCs w:val="22"/>
          <w:color w:val="auto"/>
        </w:rPr>
        <w:t>"), if, as a result of the Consolidation, a shareholder became entitled to a fractional share, such fractional share was rounded up to the nearest whole number if 0.5 or greater and down to the nearest whole number if less than 0.5, and no cash or other consideration was paid in respect of rounding. As of November 4, 2026, immediately prior to the completion of the Consolidation, there were 5,493,735 Common Shares issued and outstanding in the capital of the Company. Following the completion of the Consolidation, there were approximately 549,374 Common Shares issued and outstanding. As a result of the Consolidation, proportionate adjustments were made to the per share exercise price and the number of Common Shares issuable upon the exercise of all outstanding stock options and warrants of the Company, and the number of Common Shares reserved for issuance under the Company's existing equity incentive plan was reduced proportionately.</w:t>
      </w:r>
    </w:p>
    <w:p>
      <w:pPr>
        <w:spacing w:after="0" w:line="16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Effective at the commencement of trading on November 5, 2026, the Common Shares are expected to begin trading on The Nasdaq Capital Market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on a post-Consolidation basis under the Company's existing symbol "INM", with a new CUSIP number of 457637809 and a new ISIN number of CA4576378091.</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is also pleased to announce that, as contemplated by the Merger Agreement (as defined below), the Company has legally changed its name to Mentari Therapeutics, Inc., effective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p>
      <w:pPr>
        <w:jc w:val="both"/>
        <w:spacing w:after="0" w:line="234" w:lineRule="auto"/>
        <w:rPr>
          <w:sz w:val="20"/>
          <w:szCs w:val="20"/>
          <w:color w:val="auto"/>
        </w:rPr>
      </w:pPr>
      <w:r>
        <w:rPr>
          <w:rFonts w:ascii="Times New Roman" w:cs="Times New Roman" w:eastAsia="Times New Roman" w:hAnsi="Times New Roman"/>
          <w:sz w:val="22"/>
          <w:szCs w:val="22"/>
          <w:color w:val="auto"/>
        </w:rPr>
        <w:t>In connection with the Merger (as defined below) and pursuant to a contingent value rights agreement to be entered into on or prior to the closing date of the Merger (the "</w:t>
      </w:r>
      <w:r>
        <w:rPr>
          <w:rFonts w:ascii="Times New Roman" w:cs="Times New Roman" w:eastAsia="Times New Roman" w:hAnsi="Times New Roman"/>
          <w:sz w:val="22"/>
          <w:szCs w:val="22"/>
          <w:b w:val="1"/>
          <w:bCs w:val="1"/>
          <w:color w:val="auto"/>
        </w:rPr>
        <w:t>CVR Agreement</w:t>
      </w:r>
      <w:r>
        <w:rPr>
          <w:rFonts w:ascii="Times New Roman" w:cs="Times New Roman" w:eastAsia="Times New Roman" w:hAnsi="Times New Roman"/>
          <w:sz w:val="22"/>
          <w:szCs w:val="22"/>
          <w:color w:val="auto"/>
        </w:rPr>
        <w:t>"), the Company expects to issue to shareholders of record as of the close of business on November 5, 2026 (the "</w:t>
      </w:r>
      <w:r>
        <w:rPr>
          <w:rFonts w:ascii="Times New Roman" w:cs="Times New Roman" w:eastAsia="Times New Roman" w:hAnsi="Times New Roman"/>
          <w:sz w:val="22"/>
          <w:szCs w:val="22"/>
          <w:b w:val="1"/>
          <w:bCs w:val="1"/>
          <w:color w:val="auto"/>
        </w:rPr>
        <w:t>CVR Distribution Record Date</w:t>
      </w:r>
      <w:r>
        <w:rPr>
          <w:rFonts w:ascii="Times New Roman" w:cs="Times New Roman" w:eastAsia="Times New Roman" w:hAnsi="Times New Roman"/>
          <w:sz w:val="22"/>
          <w:szCs w:val="22"/>
          <w:color w:val="auto"/>
        </w:rPr>
        <w:t>") one contingent value right (each, a "</w:t>
      </w:r>
      <w:r>
        <w:rPr>
          <w:rFonts w:ascii="Times New Roman" w:cs="Times New Roman" w:eastAsia="Times New Roman" w:hAnsi="Times New Roman"/>
          <w:sz w:val="22"/>
          <w:szCs w:val="22"/>
          <w:b w:val="1"/>
          <w:bCs w:val="1"/>
          <w:color w:val="auto"/>
        </w:rPr>
        <w:t>CVR</w:t>
      </w:r>
      <w:r>
        <w:rPr>
          <w:rFonts w:ascii="Times New Roman" w:cs="Times New Roman" w:eastAsia="Times New Roman" w:hAnsi="Times New Roman"/>
          <w:sz w:val="22"/>
          <w:szCs w:val="22"/>
          <w:color w:val="auto"/>
        </w:rPr>
        <w:t>") for each outstanding Common Share held by such shareholder as of the CVR Distribution Record Date on a post-Consolidation basis, with each CVR representing the right to receive contingent payments upon the occurrence of certain events set forth in, and subject to and in accordance with the terms of, the CVR Agreement. Investors who purchase Common Shares on Thursday, November 5, 2026 are not expected to be holders of record as of the CVR Distribution Record Date. Common Shares to be issued in connection with the surrender of outstanding in-the-money stock options of the Company, as contemplated in connection with the Merger, will not entail any corresponding CVR entitlement.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No. 1 - Nasdaq Share Issuance Proposal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15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13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Number</w:t>
            </w:r>
          </w:p>
        </w:tc>
        <w:tc>
          <w:tcPr>
            <w:tcW w:w="5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Number</w:t>
            </w:r>
          </w:p>
        </w:tc>
        <w:tc>
          <w:tcPr>
            <w:tcW w:w="5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09"/>
        </w:trPr>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2,615,030</w:t>
            </w:r>
          </w:p>
        </w:tc>
        <w:tc>
          <w:tcPr>
            <w:tcW w:w="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97.295%</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13,420</w:t>
            </w:r>
          </w:p>
        </w:tc>
        <w:tc>
          <w:tcPr>
            <w:tcW w:w="5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0.499%</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59,288</w:t>
            </w:r>
          </w:p>
        </w:tc>
        <w:tc>
          <w:tcPr>
            <w:tcW w:w="520" w:type="dxa"/>
            <w:vAlign w:val="bottom"/>
            <w:tcBorders>
              <w:right w:val="single" w:sz="8" w:color="auto"/>
            </w:tcBorders>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2.206%</w:t>
            </w:r>
          </w:p>
        </w:tc>
      </w:tr>
    </w:tbl>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1"/>
          <w:szCs w:val="21"/>
          <w:color w:val="auto"/>
        </w:rPr>
        <w:t>The approval of the Nasdaq Share Issuance Proposal approved (i) the issuance of Common Shares (including Common Shares issuable upon conversion of the Series A Non-Voting Preferred Shares of the Company), which will represent more than 20% of the Common Shares outstanding immediately prior to the First Merger (as defined below), to stockholders of Mentari Therapeutics, Inc., a Delaware corporation ("</w:t>
      </w:r>
      <w:r>
        <w:rPr>
          <w:rFonts w:ascii="Times New Roman" w:cs="Times New Roman" w:eastAsia="Times New Roman" w:hAnsi="Times New Roman"/>
          <w:sz w:val="21"/>
          <w:szCs w:val="21"/>
          <w:b w:val="1"/>
          <w:bCs w:val="1"/>
          <w:color w:val="auto"/>
        </w:rPr>
        <w:t>Mentari</w:t>
      </w:r>
      <w:r>
        <w:rPr>
          <w:rFonts w:ascii="Times New Roman" w:cs="Times New Roman" w:eastAsia="Times New Roman" w:hAnsi="Times New Roman"/>
          <w:sz w:val="21"/>
          <w:szCs w:val="21"/>
          <w:color w:val="auto"/>
        </w:rPr>
        <w:t>"), pursuant to the agreement and plan of merger and reorganization dated May 19, 2026 (as amended, the "</w:t>
      </w:r>
      <w:r>
        <w:rPr>
          <w:rFonts w:ascii="Times New Roman" w:cs="Times New Roman" w:eastAsia="Times New Roman" w:hAnsi="Times New Roman"/>
          <w:sz w:val="21"/>
          <w:szCs w:val="21"/>
          <w:b w:val="1"/>
          <w:bCs w:val="1"/>
          <w:color w:val="auto"/>
        </w:rPr>
        <w:t>Merger Agreement</w:t>
      </w:r>
      <w:r>
        <w:rPr>
          <w:rFonts w:ascii="Times New Roman" w:cs="Times New Roman" w:eastAsia="Times New Roman" w:hAnsi="Times New Roman"/>
          <w:sz w:val="21"/>
          <w:szCs w:val="21"/>
          <w:color w:val="auto"/>
        </w:rPr>
        <w:t>"), among the Company, Mentari, Indigo Merger Sub Corp. ("</w:t>
      </w:r>
      <w:r>
        <w:rPr>
          <w:rFonts w:ascii="Times New Roman" w:cs="Times New Roman" w:eastAsia="Times New Roman" w:hAnsi="Times New Roman"/>
          <w:sz w:val="21"/>
          <w:szCs w:val="21"/>
          <w:b w:val="1"/>
          <w:bCs w:val="1"/>
          <w:color w:val="auto"/>
        </w:rPr>
        <w:t>First Merger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Sub</w:t>
      </w:r>
      <w:r>
        <w:rPr>
          <w:rFonts w:ascii="Times New Roman" w:cs="Times New Roman" w:eastAsia="Times New Roman" w:hAnsi="Times New Roman"/>
          <w:sz w:val="21"/>
          <w:szCs w:val="21"/>
          <w:color w:val="auto"/>
        </w:rPr>
        <w:t>") and Indigo Merger Sub II, LLC ("</w:t>
      </w:r>
      <w:r>
        <w:rPr>
          <w:rFonts w:ascii="Times New Roman" w:cs="Times New Roman" w:eastAsia="Times New Roman" w:hAnsi="Times New Roman"/>
          <w:sz w:val="21"/>
          <w:szCs w:val="21"/>
          <w:b w:val="1"/>
          <w:bCs w:val="1"/>
          <w:color w:val="auto"/>
        </w:rPr>
        <w:t>Second Merger Sub</w:t>
      </w:r>
      <w:r>
        <w:rPr>
          <w:rFonts w:ascii="Times New Roman" w:cs="Times New Roman" w:eastAsia="Times New Roman" w:hAnsi="Times New Roman"/>
          <w:sz w:val="21"/>
          <w:szCs w:val="21"/>
          <w:color w:val="auto"/>
        </w:rPr>
        <w:t>"), whereby, among other things, (A) First Merger Sub will merge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 and into Mentari, with Mentari continuing as a wholly owned subsidiary of the Company and the surviving corporation of the merger (the "</w:t>
      </w:r>
      <w:r>
        <w:rPr>
          <w:rFonts w:ascii="Times New Roman" w:cs="Times New Roman" w:eastAsia="Times New Roman" w:hAnsi="Times New Roman"/>
          <w:sz w:val="21"/>
          <w:szCs w:val="21"/>
          <w:b w:val="1"/>
          <w:bCs w:val="1"/>
          <w:color w:val="auto"/>
        </w:rPr>
        <w:t>First Merger</w:t>
      </w:r>
      <w:r>
        <w:rPr>
          <w:rFonts w:ascii="Times New Roman" w:cs="Times New Roman" w:eastAsia="Times New Roman" w:hAnsi="Times New Roman"/>
          <w:sz w:val="21"/>
          <w:szCs w:val="21"/>
          <w:color w:val="auto"/>
        </w:rPr>
        <w:t>"), and (B) Mentari will merge with and into Second Merger Sub, with Second Merger Sub surviving as a wholly owned subsidiary of the Company (together with the First Merger, the "</w:t>
      </w:r>
      <w:r>
        <w:rPr>
          <w:rFonts w:ascii="Times New Roman" w:cs="Times New Roman" w:eastAsia="Times New Roman" w:hAnsi="Times New Roman"/>
          <w:sz w:val="21"/>
          <w:szCs w:val="21"/>
          <w:b w:val="1"/>
          <w:bCs w:val="1"/>
          <w:color w:val="auto"/>
        </w:rPr>
        <w:t>Merger</w:t>
      </w:r>
      <w:r>
        <w:rPr>
          <w:rFonts w:ascii="Times New Roman" w:cs="Times New Roman" w:eastAsia="Times New Roman" w:hAnsi="Times New Roman"/>
          <w:sz w:val="21"/>
          <w:szCs w:val="21"/>
          <w:color w:val="auto"/>
        </w:rPr>
        <w:t>"); and (ii) the change of control of the Company resulting from the First Merger, pursuant to Nasdaq Listing Rules 5635(a) and 5635(b),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No. 2 - Return of Capital Proposal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15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13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Number</w:t>
            </w:r>
          </w:p>
        </w:tc>
        <w:tc>
          <w:tcPr>
            <w:tcW w:w="5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Number</w:t>
            </w:r>
          </w:p>
        </w:tc>
        <w:tc>
          <w:tcPr>
            <w:tcW w:w="5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09"/>
        </w:trPr>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2,615,290</w:t>
            </w:r>
          </w:p>
        </w:tc>
        <w:tc>
          <w:tcPr>
            <w:tcW w:w="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97.304%</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13,090</w:t>
            </w:r>
          </w:p>
        </w:tc>
        <w:tc>
          <w:tcPr>
            <w:tcW w:w="5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0.487%</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59,358</w:t>
            </w:r>
          </w:p>
        </w:tc>
        <w:tc>
          <w:tcPr>
            <w:tcW w:w="520" w:type="dxa"/>
            <w:vAlign w:val="bottom"/>
            <w:tcBorders>
              <w:right w:val="single" w:sz="8" w:color="auto"/>
            </w:tcBorders>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2.208%</w:t>
            </w:r>
          </w:p>
        </w:tc>
      </w:tr>
    </w:tbl>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approval of the Return of Capital Proposal approved, via special resolution, one or more reductions of the capital of the Company in respect of the Common Shares (and, in the case of an InMed Legacy Transaction Distribution (as defined in the Circular), the InMed Preferred Shares (as defined in the Circular), if applicable) in connection with the distributions to the Company's shareholders contemplated by the Merger Agreement.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No. 3 - Redomestication Proposal</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15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13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Number</w:t>
            </w:r>
          </w:p>
        </w:tc>
        <w:tc>
          <w:tcPr>
            <w:tcW w:w="5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Number</w:t>
            </w:r>
          </w:p>
        </w:tc>
        <w:tc>
          <w:tcPr>
            <w:tcW w:w="5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10"/>
        </w:trPr>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2,387,379</w:t>
            </w:r>
          </w:p>
        </w:tc>
        <w:tc>
          <w:tcPr>
            <w:tcW w:w="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88.825%</w:t>
            </w: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240,296</w:t>
            </w:r>
          </w:p>
        </w:tc>
        <w:tc>
          <w:tcPr>
            <w:tcW w:w="5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8.940%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60,063</w:t>
            </w:r>
          </w:p>
        </w:tc>
        <w:tc>
          <w:tcPr>
            <w:tcW w:w="520" w:type="dxa"/>
            <w:vAlign w:val="bottom"/>
            <w:tcBorders>
              <w:right w:val="single" w:sz="8" w:color="auto"/>
            </w:tcBorders>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2.235%</w:t>
            </w:r>
          </w:p>
        </w:tc>
      </w:tr>
    </w:tbl>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approval of the Redomestication Proposal approved, via special resolution, the redomestication of the Company from British Columbia, Canada to the State of Nevada by continuation out of British Columbia under British Columbia law and domestication under Nevada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15327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Proposal No. 4 - Stock Plan Proposal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15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13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Number</w:t>
            </w:r>
          </w:p>
        </w:tc>
        <w:tc>
          <w:tcPr>
            <w:tcW w:w="5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Number</w:t>
            </w:r>
          </w:p>
        </w:tc>
        <w:tc>
          <w:tcPr>
            <w:tcW w:w="5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10"/>
        </w:trPr>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2,381,747</w:t>
            </w:r>
          </w:p>
        </w:tc>
        <w:tc>
          <w:tcPr>
            <w:tcW w:w="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88.615%</w:t>
            </w: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245,657</w:t>
            </w:r>
          </w:p>
        </w:tc>
        <w:tc>
          <w:tcPr>
            <w:tcW w:w="5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9.140%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60,334</w:t>
            </w:r>
          </w:p>
        </w:tc>
        <w:tc>
          <w:tcPr>
            <w:tcW w:w="520" w:type="dxa"/>
            <w:vAlign w:val="bottom"/>
            <w:tcBorders>
              <w:right w:val="single" w:sz="8" w:color="auto"/>
            </w:tcBorders>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2.245%</w:t>
            </w:r>
          </w:p>
        </w:tc>
      </w:tr>
    </w:tbl>
    <w:p>
      <w:pPr>
        <w:spacing w:after="0" w:line="162" w:lineRule="exact"/>
        <w:rPr>
          <w:sz w:val="20"/>
          <w:szCs w:val="20"/>
          <w:color w:val="auto"/>
        </w:rPr>
      </w:pPr>
    </w:p>
    <w:p>
      <w:pPr>
        <w:ind w:right="1840"/>
        <w:spacing w:after="0" w:line="410" w:lineRule="auto"/>
        <w:rPr>
          <w:sz w:val="20"/>
          <w:szCs w:val="20"/>
          <w:color w:val="auto"/>
        </w:rPr>
      </w:pPr>
      <w:r>
        <w:rPr>
          <w:rFonts w:ascii="Times New Roman" w:cs="Times New Roman" w:eastAsia="Times New Roman" w:hAnsi="Times New Roman"/>
          <w:sz w:val="22"/>
          <w:szCs w:val="22"/>
          <w:color w:val="auto"/>
        </w:rPr>
        <w:t xml:space="preserve">The approval of the Stock Plan Proposal approved the Mentari Therapeutics, Inc. 2026 Stock Incentive Plan. </w:t>
      </w:r>
      <w:r>
        <w:rPr>
          <w:rFonts w:ascii="Times New Roman" w:cs="Times New Roman" w:eastAsia="Times New Roman" w:hAnsi="Times New Roman"/>
          <w:sz w:val="22"/>
          <w:szCs w:val="22"/>
          <w:b w:val="1"/>
          <w:bCs w:val="1"/>
          <w:color w:val="auto"/>
        </w:rPr>
        <w:t>Proposal No. 5 - ESPP Proposal</w:t>
      </w:r>
    </w:p>
    <w:tbl>
      <w:tblPr>
        <w:tblLayout w:type="fixed"/>
        <w:tblInd w:w="0" w:type="dxa"/>
        <w:tblCellMar>
          <w:top w:w="0" w:type="dxa"/>
          <w:left w:w="0" w:type="dxa"/>
          <w:bottom w:w="0" w:type="dxa"/>
          <w:right w:w="0" w:type="dxa"/>
        </w:tblCellMar>
      </w:tblPr>
      <w:tr>
        <w:trPr>
          <w:trHeight w:val="216"/>
        </w:trPr>
        <w:tc>
          <w:tcPr>
            <w:tcW w:w="150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09"/>
        </w:trPr>
        <w:tc>
          <w:tcPr>
            <w:tcW w:w="15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13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Number</w:t>
            </w:r>
          </w:p>
        </w:tc>
        <w:tc>
          <w:tcPr>
            <w:tcW w:w="5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Number</w:t>
            </w:r>
          </w:p>
        </w:tc>
        <w:tc>
          <w:tcPr>
            <w:tcW w:w="5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10"/>
        </w:trPr>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2,607,257</w:t>
            </w:r>
          </w:p>
        </w:tc>
        <w:tc>
          <w:tcPr>
            <w:tcW w:w="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97.006%</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21,352</w:t>
            </w:r>
          </w:p>
        </w:tc>
        <w:tc>
          <w:tcPr>
            <w:tcW w:w="5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0.794%</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59,129</w:t>
            </w:r>
          </w:p>
        </w:tc>
        <w:tc>
          <w:tcPr>
            <w:tcW w:w="520" w:type="dxa"/>
            <w:vAlign w:val="bottom"/>
            <w:tcBorders>
              <w:right w:val="single" w:sz="8" w:color="auto"/>
            </w:tcBorders>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2.200%</w:t>
            </w:r>
          </w:p>
        </w:tc>
      </w:tr>
    </w:tbl>
    <w:p>
      <w:pPr>
        <w:spacing w:after="0" w:line="162" w:lineRule="exact"/>
        <w:rPr>
          <w:sz w:val="20"/>
          <w:szCs w:val="20"/>
          <w:color w:val="auto"/>
        </w:rPr>
      </w:pPr>
    </w:p>
    <w:p>
      <w:pPr>
        <w:ind w:right="1360"/>
        <w:spacing w:after="0" w:line="410" w:lineRule="auto"/>
        <w:rPr>
          <w:sz w:val="20"/>
          <w:szCs w:val="20"/>
          <w:color w:val="auto"/>
        </w:rPr>
      </w:pPr>
      <w:r>
        <w:rPr>
          <w:rFonts w:ascii="Times New Roman" w:cs="Times New Roman" w:eastAsia="Times New Roman" w:hAnsi="Times New Roman"/>
          <w:sz w:val="22"/>
          <w:szCs w:val="22"/>
          <w:color w:val="auto"/>
        </w:rPr>
        <w:t xml:space="preserve">The approval of the ESPP Proposal approved the Mentari Therapeutics, Inc. 2026 Employee Stock Purchase Plan. </w:t>
      </w:r>
      <w:r>
        <w:rPr>
          <w:rFonts w:ascii="Times New Roman" w:cs="Times New Roman" w:eastAsia="Times New Roman" w:hAnsi="Times New Roman"/>
          <w:sz w:val="22"/>
          <w:szCs w:val="22"/>
          <w:b w:val="1"/>
          <w:bCs w:val="1"/>
          <w:color w:val="auto"/>
        </w:rPr>
        <w:t>Proposal No. 6 - Merger Compensation Proposal</w:t>
      </w:r>
    </w:p>
    <w:tbl>
      <w:tblPr>
        <w:tblLayout w:type="fixed"/>
        <w:tblInd w:w="0" w:type="dxa"/>
        <w:tblCellMar>
          <w:top w:w="0" w:type="dxa"/>
          <w:left w:w="0" w:type="dxa"/>
          <w:bottom w:w="0" w:type="dxa"/>
          <w:right w:w="0" w:type="dxa"/>
        </w:tblCellMar>
      </w:tblPr>
      <w:tr>
        <w:trPr>
          <w:trHeight w:val="216"/>
        </w:trPr>
        <w:tc>
          <w:tcPr>
            <w:tcW w:w="1500" w:type="dxa"/>
            <w:vAlign w:val="bottom"/>
            <w:tcBorders>
              <w:bottom w:val="single" w:sz="8" w:color="auto"/>
            </w:tcBorders>
          </w:tcPr>
          <w:p>
            <w:pPr>
              <w:spacing w:after="0"/>
              <w:rPr>
                <w:sz w:val="18"/>
                <w:szCs w:val="18"/>
                <w:color w:val="auto"/>
              </w:rPr>
            </w:pPr>
          </w:p>
        </w:tc>
        <w:tc>
          <w:tcPr>
            <w:tcW w:w="2260" w:type="dxa"/>
            <w:vAlign w:val="bottom"/>
            <w:tcBorders>
              <w:bottom w:val="single" w:sz="8" w:color="auto"/>
              <w:right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tcBorders>
              <w:bottom w:val="single" w:sz="8" w:color="auto"/>
            </w:tcBorders>
          </w:tcPr>
          <w:p>
            <w:pPr>
              <w:spacing w:after="0"/>
              <w:rPr>
                <w:sz w:val="18"/>
                <w:szCs w:val="18"/>
                <w:color w:val="auto"/>
              </w:rPr>
            </w:pPr>
          </w:p>
        </w:tc>
        <w:tc>
          <w:tcPr>
            <w:tcW w:w="240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210"/>
        </w:trPr>
        <w:tc>
          <w:tcPr>
            <w:tcW w:w="150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Number</w:t>
            </w:r>
          </w:p>
        </w:tc>
        <w:tc>
          <w:tcPr>
            <w:tcW w:w="40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134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rPr>
              <w:t>Number</w:t>
            </w:r>
          </w:p>
        </w:tc>
        <w:tc>
          <w:tcPr>
            <w:tcW w:w="54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1360" w:type="dxa"/>
            <w:vAlign w:val="bottom"/>
            <w:tcBorders>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color w:val="auto"/>
                <w:w w:val="98"/>
              </w:rPr>
              <w:t>Number</w:t>
            </w:r>
          </w:p>
        </w:tc>
        <w:tc>
          <w:tcPr>
            <w:tcW w:w="520" w:type="dxa"/>
            <w:vAlign w:val="bottom"/>
            <w:tcBorders>
              <w:bottom w:val="single" w:sz="8" w:color="auto"/>
              <w:right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10"/>
        </w:trPr>
        <w:tc>
          <w:tcPr>
            <w:tcW w:w="15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2,605,280</w:t>
            </w:r>
          </w:p>
        </w:tc>
        <w:tc>
          <w:tcPr>
            <w:tcW w:w="40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96.932%</w:t>
            </w: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22,311</w:t>
            </w:r>
          </w:p>
        </w:tc>
        <w:tc>
          <w:tcPr>
            <w:tcW w:w="54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0.830%</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60,147</w:t>
            </w:r>
          </w:p>
        </w:tc>
        <w:tc>
          <w:tcPr>
            <w:tcW w:w="520" w:type="dxa"/>
            <w:vAlign w:val="bottom"/>
            <w:tcBorders>
              <w:right w:val="single" w:sz="8" w:color="auto"/>
            </w:tcBorders>
          </w:tcPr>
          <w:p>
            <w:pPr>
              <w:spacing w:after="0"/>
              <w:rPr>
                <w:sz w:val="18"/>
                <w:szCs w:val="18"/>
                <w:color w:val="auto"/>
              </w:rPr>
            </w:pPr>
          </w:p>
        </w:tc>
        <w:tc>
          <w:tcPr>
            <w:tcW w:w="18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2.238%</w:t>
            </w:r>
          </w:p>
        </w:tc>
      </w:tr>
    </w:tbl>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approval of the Merger Compensation Proposal approved, on an advisory basis, certain compensation arrangements for the Company's named executive officers that are based on or otherwise relate to the Merger.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No. 7 - Financial Statements Proposal</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audited consolidated financial statements of the Company, together with the auditor's report thereon, for the fiscal year ended June 30, 2026, were received by the shareholders of the Company.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No. 8 - Director Election Proposal</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540" w:type="dxa"/>
            <w:vAlign w:val="bottom"/>
          </w:tcPr>
          <w:p>
            <w:pPr>
              <w:spacing w:after="0"/>
              <w:rPr>
                <w:sz w:val="18"/>
                <w:szCs w:val="18"/>
                <w:color w:val="auto"/>
              </w:rPr>
            </w:pPr>
          </w:p>
        </w:tc>
        <w:tc>
          <w:tcPr>
            <w:tcW w:w="29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520" w:type="dxa"/>
            <w:vAlign w:val="bottom"/>
          </w:tcPr>
          <w:p>
            <w:pPr>
              <w:spacing w:after="0"/>
              <w:rPr>
                <w:sz w:val="18"/>
                <w:szCs w:val="18"/>
                <w:color w:val="auto"/>
              </w:rPr>
            </w:pPr>
          </w:p>
        </w:tc>
        <w:tc>
          <w:tcPr>
            <w:tcW w:w="2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Withheld Votes</w:t>
            </w:r>
          </w:p>
        </w:tc>
        <w:tc>
          <w:tcPr>
            <w:tcW w:w="0" w:type="dxa"/>
            <w:vAlign w:val="bottom"/>
          </w:tcPr>
          <w:p>
            <w:pPr>
              <w:spacing w:after="0"/>
              <w:rPr>
                <w:sz w:val="1"/>
                <w:szCs w:val="1"/>
                <w:color w:val="auto"/>
              </w:rPr>
            </w:pPr>
          </w:p>
        </w:tc>
      </w:tr>
      <w:tr>
        <w:trPr>
          <w:trHeight w:val="210"/>
        </w:trPr>
        <w:tc>
          <w:tcPr>
            <w:tcW w:w="2420" w:type="dxa"/>
            <w:vAlign w:val="bottom"/>
            <w:tcBorders>
              <w:bottom w:val="single" w:sz="8" w:color="auto"/>
              <w:right w:val="single" w:sz="8" w:color="auto"/>
            </w:tcBorders>
            <w:vMerge w:val="continue"/>
          </w:tcPr>
          <w:p>
            <w:pPr>
              <w:spacing w:after="0"/>
              <w:rPr>
                <w:sz w:val="18"/>
                <w:szCs w:val="18"/>
                <w:color w:val="auto"/>
              </w:rPr>
            </w:pPr>
          </w:p>
        </w:tc>
        <w:tc>
          <w:tcPr>
            <w:tcW w:w="1540" w:type="dxa"/>
            <w:vAlign w:val="bottom"/>
            <w:tcBorders>
              <w:top w:val="single" w:sz="8" w:color="auto"/>
              <w:bottom w:val="single" w:sz="8" w:color="auto"/>
            </w:tcBorders>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500" w:type="dxa"/>
            <w:vAlign w:val="bottom"/>
            <w:tcBorders>
              <w:top w:val="single" w:sz="8" w:color="auto"/>
              <w:bottom w:val="single" w:sz="8" w:color="auto"/>
              <w:right w:val="single" w:sz="8" w:color="auto"/>
            </w:tcBorders>
          </w:tcPr>
          <w:p>
            <w:pPr>
              <w:spacing w:after="0"/>
              <w:rPr>
                <w:sz w:val="18"/>
                <w:szCs w:val="18"/>
                <w:color w:val="auto"/>
              </w:rPr>
            </w:pPr>
          </w:p>
        </w:tc>
        <w:tc>
          <w:tcPr>
            <w:tcW w:w="2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300" w:type="dxa"/>
            <w:vAlign w:val="bottom"/>
            <w:tcBorders>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700" w:type="dxa"/>
            <w:vAlign w:val="bottom"/>
            <w:tcBorders>
              <w:top w:val="single" w:sz="8" w:color="auto"/>
              <w:bottom w:val="single" w:sz="8" w:color="auto"/>
              <w:right w:val="single" w:sz="8" w:color="auto"/>
            </w:tcBorders>
          </w:tcPr>
          <w:p>
            <w:pPr>
              <w:spacing w:after="0"/>
              <w:rPr>
                <w:sz w:val="18"/>
                <w:szCs w:val="18"/>
                <w:color w:val="auto"/>
              </w:rPr>
            </w:pPr>
          </w:p>
        </w:tc>
        <w:tc>
          <w:tcPr>
            <w:tcW w:w="21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10"/>
        </w:trPr>
        <w:tc>
          <w:tcPr>
            <w:tcW w:w="2420" w:type="dxa"/>
            <w:vAlign w:val="bottom"/>
            <w:tcBorders>
              <w:right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Andrew Hull</w:t>
            </w:r>
          </w:p>
        </w:tc>
        <w:tc>
          <w:tcPr>
            <w:tcW w:w="1540" w:type="dxa"/>
            <w:vAlign w:val="bottom"/>
            <w:shd w:val="clear" w:color="auto" w:fill="E6EFFF"/>
          </w:tcPr>
          <w:p>
            <w:pPr>
              <w:jc w:val="center"/>
              <w:ind w:left="410"/>
              <w:spacing w:after="0"/>
              <w:rPr>
                <w:sz w:val="20"/>
                <w:szCs w:val="20"/>
                <w:color w:val="auto"/>
              </w:rPr>
            </w:pPr>
            <w:r>
              <w:rPr>
                <w:rFonts w:ascii="Times New Roman" w:cs="Times New Roman" w:eastAsia="Times New Roman" w:hAnsi="Times New Roman"/>
                <w:sz w:val="18"/>
                <w:szCs w:val="18"/>
                <w:color w:val="auto"/>
                <w:w w:val="99"/>
              </w:rPr>
              <w:t>2,613,186</w:t>
            </w:r>
          </w:p>
        </w:tc>
        <w:tc>
          <w:tcPr>
            <w:tcW w:w="500" w:type="dxa"/>
            <w:vAlign w:val="bottom"/>
            <w:tcBorders>
              <w:right w:val="single" w:sz="8" w:color="auto"/>
            </w:tcBorders>
            <w:shd w:val="clear" w:color="auto" w:fill="E6EFFF"/>
          </w:tcPr>
          <w:p>
            <w:pPr>
              <w:spacing w:after="0"/>
              <w:rPr>
                <w:sz w:val="18"/>
                <w:szCs w:val="18"/>
                <w:color w:val="auto"/>
              </w:rPr>
            </w:pPr>
          </w:p>
        </w:tc>
        <w:tc>
          <w:tcPr>
            <w:tcW w:w="21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97.226%</w:t>
            </w:r>
          </w:p>
        </w:tc>
        <w:tc>
          <w:tcPr>
            <w:tcW w:w="300" w:type="dxa"/>
            <w:vAlign w:val="bottom"/>
            <w:shd w:val="clear" w:color="auto" w:fill="E6EFFF"/>
          </w:tcPr>
          <w:p>
            <w:pPr>
              <w:spacing w:after="0"/>
              <w:rPr>
                <w:sz w:val="18"/>
                <w:szCs w:val="18"/>
                <w:color w:val="auto"/>
              </w:rPr>
            </w:pPr>
          </w:p>
        </w:tc>
        <w:tc>
          <w:tcPr>
            <w:tcW w:w="1520" w:type="dxa"/>
            <w:vAlign w:val="bottom"/>
            <w:shd w:val="clear" w:color="auto" w:fill="E6EFFF"/>
          </w:tcPr>
          <w:p>
            <w:pPr>
              <w:jc w:val="center"/>
              <w:ind w:left="590"/>
              <w:spacing w:after="0"/>
              <w:rPr>
                <w:sz w:val="20"/>
                <w:szCs w:val="20"/>
                <w:color w:val="auto"/>
              </w:rPr>
            </w:pPr>
            <w:r>
              <w:rPr>
                <w:rFonts w:ascii="Times New Roman" w:cs="Times New Roman" w:eastAsia="Times New Roman" w:hAnsi="Times New Roman"/>
                <w:sz w:val="18"/>
                <w:szCs w:val="18"/>
                <w:color w:val="auto"/>
                <w:w w:val="96"/>
              </w:rPr>
              <w:t>74,552</w:t>
            </w:r>
          </w:p>
        </w:tc>
        <w:tc>
          <w:tcPr>
            <w:tcW w:w="700" w:type="dxa"/>
            <w:vAlign w:val="bottom"/>
            <w:tcBorders>
              <w:right w:val="single" w:sz="8" w:color="auto"/>
            </w:tcBorders>
            <w:shd w:val="clear" w:color="auto" w:fill="E6EFFF"/>
          </w:tcPr>
          <w:p>
            <w:pPr>
              <w:spacing w:after="0"/>
              <w:rPr>
                <w:sz w:val="18"/>
                <w:szCs w:val="18"/>
                <w:color w:val="auto"/>
              </w:rPr>
            </w:pPr>
          </w:p>
        </w:tc>
        <w:tc>
          <w:tcPr>
            <w:tcW w:w="2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2.774%</w:t>
            </w:r>
          </w:p>
        </w:tc>
        <w:tc>
          <w:tcPr>
            <w:tcW w:w="0" w:type="dxa"/>
            <w:vAlign w:val="bottom"/>
          </w:tcPr>
          <w:p>
            <w:pPr>
              <w:spacing w:after="0"/>
              <w:rPr>
                <w:sz w:val="1"/>
                <w:szCs w:val="1"/>
                <w:color w:val="auto"/>
              </w:rPr>
            </w:pPr>
          </w:p>
        </w:tc>
      </w:tr>
      <w:tr>
        <w:trPr>
          <w:trHeight w:val="216"/>
        </w:trPr>
        <w:tc>
          <w:tcPr>
            <w:tcW w:w="2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Nicole Lemerond</w:t>
            </w:r>
          </w:p>
        </w:tc>
        <w:tc>
          <w:tcPr>
            <w:tcW w:w="15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2,399,806</w:t>
            </w:r>
          </w:p>
        </w:tc>
        <w:tc>
          <w:tcPr>
            <w:tcW w:w="500" w:type="dxa"/>
            <w:vAlign w:val="bottom"/>
            <w:tcBorders>
              <w:right w:val="single" w:sz="8" w:color="auto"/>
            </w:tcBorders>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89.287%</w:t>
            </w:r>
          </w:p>
        </w:tc>
        <w:tc>
          <w:tcPr>
            <w:tcW w:w="300" w:type="dxa"/>
            <w:vAlign w:val="bottom"/>
          </w:tcPr>
          <w:p>
            <w:pPr>
              <w:spacing w:after="0"/>
              <w:rPr>
                <w:sz w:val="18"/>
                <w:szCs w:val="18"/>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287,932</w:t>
            </w:r>
          </w:p>
        </w:tc>
        <w:tc>
          <w:tcPr>
            <w:tcW w:w="700" w:type="dxa"/>
            <w:vAlign w:val="bottom"/>
            <w:tcBorders>
              <w:right w:val="single" w:sz="8" w:color="auto"/>
            </w:tcBorders>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10.713%</w:t>
            </w:r>
          </w:p>
        </w:tc>
        <w:tc>
          <w:tcPr>
            <w:tcW w:w="0" w:type="dxa"/>
            <w:vAlign w:val="bottom"/>
          </w:tcPr>
          <w:p>
            <w:pPr>
              <w:spacing w:after="0"/>
              <w:rPr>
                <w:sz w:val="1"/>
                <w:szCs w:val="1"/>
                <w:color w:val="auto"/>
              </w:rPr>
            </w:pPr>
          </w:p>
        </w:tc>
      </w:tr>
      <w:tr>
        <w:trPr>
          <w:trHeight w:val="216"/>
        </w:trPr>
        <w:tc>
          <w:tcPr>
            <w:tcW w:w="2420" w:type="dxa"/>
            <w:vAlign w:val="bottom"/>
            <w:tcBorders>
              <w:right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Neil Klompas</w:t>
            </w:r>
          </w:p>
        </w:tc>
        <w:tc>
          <w:tcPr>
            <w:tcW w:w="1540" w:type="dxa"/>
            <w:vAlign w:val="bottom"/>
            <w:shd w:val="clear" w:color="auto" w:fill="E6EFFF"/>
          </w:tcPr>
          <w:p>
            <w:pPr>
              <w:jc w:val="center"/>
              <w:ind w:left="410"/>
              <w:spacing w:after="0"/>
              <w:rPr>
                <w:sz w:val="20"/>
                <w:szCs w:val="20"/>
                <w:color w:val="auto"/>
              </w:rPr>
            </w:pPr>
            <w:r>
              <w:rPr>
                <w:rFonts w:ascii="Times New Roman" w:cs="Times New Roman" w:eastAsia="Times New Roman" w:hAnsi="Times New Roman"/>
                <w:sz w:val="18"/>
                <w:szCs w:val="18"/>
                <w:color w:val="auto"/>
                <w:w w:val="99"/>
              </w:rPr>
              <w:t>2,616,039</w:t>
            </w:r>
          </w:p>
        </w:tc>
        <w:tc>
          <w:tcPr>
            <w:tcW w:w="500" w:type="dxa"/>
            <w:vAlign w:val="bottom"/>
            <w:tcBorders>
              <w:right w:val="single" w:sz="8" w:color="auto"/>
            </w:tcBorders>
            <w:shd w:val="clear" w:color="auto" w:fill="E6EFFF"/>
          </w:tcPr>
          <w:p>
            <w:pPr>
              <w:spacing w:after="0"/>
              <w:rPr>
                <w:sz w:val="18"/>
                <w:szCs w:val="18"/>
                <w:color w:val="auto"/>
              </w:rPr>
            </w:pPr>
          </w:p>
        </w:tc>
        <w:tc>
          <w:tcPr>
            <w:tcW w:w="21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97.332%</w:t>
            </w:r>
          </w:p>
        </w:tc>
        <w:tc>
          <w:tcPr>
            <w:tcW w:w="300" w:type="dxa"/>
            <w:vAlign w:val="bottom"/>
            <w:shd w:val="clear" w:color="auto" w:fill="E6EFFF"/>
          </w:tcPr>
          <w:p>
            <w:pPr>
              <w:spacing w:after="0"/>
              <w:rPr>
                <w:sz w:val="18"/>
                <w:szCs w:val="18"/>
                <w:color w:val="auto"/>
              </w:rPr>
            </w:pPr>
          </w:p>
        </w:tc>
        <w:tc>
          <w:tcPr>
            <w:tcW w:w="1520" w:type="dxa"/>
            <w:vAlign w:val="bottom"/>
            <w:shd w:val="clear" w:color="auto" w:fill="E6EFFF"/>
          </w:tcPr>
          <w:p>
            <w:pPr>
              <w:jc w:val="center"/>
              <w:ind w:left="590"/>
              <w:spacing w:after="0"/>
              <w:rPr>
                <w:sz w:val="20"/>
                <w:szCs w:val="20"/>
                <w:color w:val="auto"/>
              </w:rPr>
            </w:pPr>
            <w:r>
              <w:rPr>
                <w:rFonts w:ascii="Times New Roman" w:cs="Times New Roman" w:eastAsia="Times New Roman" w:hAnsi="Times New Roman"/>
                <w:sz w:val="18"/>
                <w:szCs w:val="18"/>
                <w:color w:val="auto"/>
                <w:w w:val="96"/>
              </w:rPr>
              <w:t>71,699</w:t>
            </w:r>
          </w:p>
        </w:tc>
        <w:tc>
          <w:tcPr>
            <w:tcW w:w="700" w:type="dxa"/>
            <w:vAlign w:val="bottom"/>
            <w:tcBorders>
              <w:right w:val="single" w:sz="8" w:color="auto"/>
            </w:tcBorders>
            <w:shd w:val="clear" w:color="auto" w:fill="E6EFFF"/>
          </w:tcPr>
          <w:p>
            <w:pPr>
              <w:spacing w:after="0"/>
              <w:rPr>
                <w:sz w:val="18"/>
                <w:szCs w:val="18"/>
                <w:color w:val="auto"/>
              </w:rPr>
            </w:pPr>
          </w:p>
        </w:tc>
        <w:tc>
          <w:tcPr>
            <w:tcW w:w="2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2.668%</w:t>
            </w:r>
          </w:p>
        </w:tc>
        <w:tc>
          <w:tcPr>
            <w:tcW w:w="0" w:type="dxa"/>
            <w:vAlign w:val="bottom"/>
          </w:tcPr>
          <w:p>
            <w:pPr>
              <w:spacing w:after="0"/>
              <w:rPr>
                <w:sz w:val="1"/>
                <w:szCs w:val="1"/>
                <w:color w:val="auto"/>
              </w:rPr>
            </w:pPr>
          </w:p>
        </w:tc>
      </w:tr>
      <w:tr>
        <w:trPr>
          <w:trHeight w:val="216"/>
        </w:trPr>
        <w:tc>
          <w:tcPr>
            <w:tcW w:w="2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John Bathery</w:t>
            </w:r>
          </w:p>
        </w:tc>
        <w:tc>
          <w:tcPr>
            <w:tcW w:w="15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2,616,259</w:t>
            </w:r>
          </w:p>
        </w:tc>
        <w:tc>
          <w:tcPr>
            <w:tcW w:w="500" w:type="dxa"/>
            <w:vAlign w:val="bottom"/>
            <w:tcBorders>
              <w:right w:val="single" w:sz="8" w:color="auto"/>
            </w:tcBorders>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97.341%</w:t>
            </w:r>
          </w:p>
        </w:tc>
        <w:tc>
          <w:tcPr>
            <w:tcW w:w="300" w:type="dxa"/>
            <w:vAlign w:val="bottom"/>
          </w:tcPr>
          <w:p>
            <w:pPr>
              <w:spacing w:after="0"/>
              <w:rPr>
                <w:sz w:val="18"/>
                <w:szCs w:val="18"/>
                <w:color w:val="auto"/>
              </w:rPr>
            </w:pPr>
          </w:p>
        </w:tc>
        <w:tc>
          <w:tcPr>
            <w:tcW w:w="152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6"/>
              </w:rPr>
              <w:t>71,479</w:t>
            </w:r>
          </w:p>
        </w:tc>
        <w:tc>
          <w:tcPr>
            <w:tcW w:w="700" w:type="dxa"/>
            <w:vAlign w:val="bottom"/>
            <w:tcBorders>
              <w:right w:val="single" w:sz="8" w:color="auto"/>
            </w:tcBorders>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16"/>
        </w:trPr>
        <w:tc>
          <w:tcPr>
            <w:tcW w:w="2420" w:type="dxa"/>
            <w:vAlign w:val="bottom"/>
            <w:tcBorders>
              <w:right w:val="single" w:sz="8" w:color="auto"/>
            </w:tcBorders>
            <w:shd w:val="clear" w:color="auto" w:fill="E6EFFF"/>
          </w:tcPr>
          <w:p>
            <w:pPr>
              <w:ind w:left="100"/>
              <w:spacing w:after="0"/>
              <w:rPr>
                <w:sz w:val="20"/>
                <w:szCs w:val="20"/>
                <w:color w:val="auto"/>
              </w:rPr>
            </w:pPr>
            <w:r>
              <w:rPr>
                <w:rFonts w:ascii="Times New Roman" w:cs="Times New Roman" w:eastAsia="Times New Roman" w:hAnsi="Times New Roman"/>
                <w:sz w:val="18"/>
                <w:szCs w:val="18"/>
                <w:color w:val="auto"/>
              </w:rPr>
              <w:t>Eric A. Adams</w:t>
            </w:r>
          </w:p>
        </w:tc>
        <w:tc>
          <w:tcPr>
            <w:tcW w:w="1540" w:type="dxa"/>
            <w:vAlign w:val="bottom"/>
            <w:shd w:val="clear" w:color="auto" w:fill="E6EFFF"/>
          </w:tcPr>
          <w:p>
            <w:pPr>
              <w:jc w:val="center"/>
              <w:ind w:left="410"/>
              <w:spacing w:after="0"/>
              <w:rPr>
                <w:sz w:val="20"/>
                <w:szCs w:val="20"/>
                <w:color w:val="auto"/>
              </w:rPr>
            </w:pPr>
            <w:r>
              <w:rPr>
                <w:rFonts w:ascii="Times New Roman" w:cs="Times New Roman" w:eastAsia="Times New Roman" w:hAnsi="Times New Roman"/>
                <w:sz w:val="18"/>
                <w:szCs w:val="18"/>
                <w:color w:val="auto"/>
                <w:w w:val="99"/>
              </w:rPr>
              <w:t>2,613,397</w:t>
            </w:r>
          </w:p>
        </w:tc>
        <w:tc>
          <w:tcPr>
            <w:tcW w:w="500" w:type="dxa"/>
            <w:vAlign w:val="bottom"/>
            <w:tcBorders>
              <w:right w:val="single" w:sz="8" w:color="auto"/>
            </w:tcBorders>
            <w:shd w:val="clear" w:color="auto" w:fill="E6EFFF"/>
          </w:tcPr>
          <w:p>
            <w:pPr>
              <w:spacing w:after="0"/>
              <w:rPr>
                <w:sz w:val="18"/>
                <w:szCs w:val="18"/>
                <w:color w:val="auto"/>
              </w:rPr>
            </w:pPr>
          </w:p>
        </w:tc>
        <w:tc>
          <w:tcPr>
            <w:tcW w:w="210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97.234%</w:t>
            </w:r>
          </w:p>
        </w:tc>
        <w:tc>
          <w:tcPr>
            <w:tcW w:w="300" w:type="dxa"/>
            <w:vAlign w:val="bottom"/>
            <w:shd w:val="clear" w:color="auto" w:fill="E6EFFF"/>
          </w:tcPr>
          <w:p>
            <w:pPr>
              <w:spacing w:after="0"/>
              <w:rPr>
                <w:sz w:val="18"/>
                <w:szCs w:val="18"/>
                <w:color w:val="auto"/>
              </w:rPr>
            </w:pPr>
          </w:p>
        </w:tc>
        <w:tc>
          <w:tcPr>
            <w:tcW w:w="1520" w:type="dxa"/>
            <w:vAlign w:val="bottom"/>
            <w:shd w:val="clear" w:color="auto" w:fill="E6EFFF"/>
          </w:tcPr>
          <w:p>
            <w:pPr>
              <w:jc w:val="center"/>
              <w:ind w:left="590"/>
              <w:spacing w:after="0"/>
              <w:rPr>
                <w:sz w:val="20"/>
                <w:szCs w:val="20"/>
                <w:color w:val="auto"/>
              </w:rPr>
            </w:pPr>
            <w:r>
              <w:rPr>
                <w:rFonts w:ascii="Times New Roman" w:cs="Times New Roman" w:eastAsia="Times New Roman" w:hAnsi="Times New Roman"/>
                <w:sz w:val="18"/>
                <w:szCs w:val="18"/>
                <w:color w:val="auto"/>
                <w:w w:val="96"/>
              </w:rPr>
              <w:t>74,341</w:t>
            </w:r>
          </w:p>
        </w:tc>
        <w:tc>
          <w:tcPr>
            <w:tcW w:w="700" w:type="dxa"/>
            <w:vAlign w:val="bottom"/>
            <w:tcBorders>
              <w:right w:val="single" w:sz="8" w:color="auto"/>
            </w:tcBorders>
            <w:shd w:val="clear" w:color="auto" w:fill="E6EFFF"/>
          </w:tcPr>
          <w:p>
            <w:pPr>
              <w:spacing w:after="0"/>
              <w:rPr>
                <w:sz w:val="18"/>
                <w:szCs w:val="18"/>
                <w:color w:val="auto"/>
              </w:rPr>
            </w:pPr>
          </w:p>
        </w:tc>
        <w:tc>
          <w:tcPr>
            <w:tcW w:w="2160" w:type="dxa"/>
            <w:vAlign w:val="bottom"/>
            <w:shd w:val="clear" w:color="auto" w:fill="E6EFFF"/>
          </w:tcPr>
          <w:p>
            <w:pPr>
              <w:jc w:val="center"/>
              <w:spacing w:after="0"/>
              <w:rPr>
                <w:sz w:val="20"/>
                <w:szCs w:val="20"/>
                <w:color w:val="auto"/>
              </w:rPr>
            </w:pPr>
            <w:r>
              <w:rPr>
                <w:rFonts w:ascii="Times New Roman" w:cs="Times New Roman" w:eastAsia="Times New Roman" w:hAnsi="Times New Roman"/>
                <w:sz w:val="18"/>
                <w:szCs w:val="18"/>
                <w:color w:val="auto"/>
              </w:rPr>
              <w:t>2.766%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Each of the director nominees listed above was elected as a director of the Company to hold office until the next annual meeting of shareholders or until his or her successor is duly elected or appointed, unless such office is earlier vacated or such director becomes disqualified; provided that, the board of directors of the Company will be reconstituted upon completion of the Merger in accordance with the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113030</wp:posOffset>
            </wp:positionV>
            <wp:extent cx="7153275" cy="469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Proposal No. 9 - Auditor Proposal</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0" w:type="dxa"/>
            <w:vAlign w:val="bottom"/>
            <w:tcBorders>
              <w:bottom w:val="single" w:sz="8" w:color="auto"/>
            </w:tcBorders>
          </w:tcPr>
          <w:p>
            <w:pPr>
              <w:spacing w:after="0"/>
              <w:rPr>
                <w:sz w:val="18"/>
                <w:szCs w:val="18"/>
                <w:color w:val="auto"/>
              </w:rPr>
            </w:pPr>
          </w:p>
        </w:tc>
        <w:tc>
          <w:tcPr>
            <w:tcW w:w="3440" w:type="dxa"/>
            <w:vAlign w:val="bottom"/>
            <w:tcBorders>
              <w:bottom w:val="single" w:sz="8" w:color="auto"/>
              <w:right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9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WITHHOLD</w:t>
            </w:r>
          </w:p>
        </w:tc>
      </w:tr>
      <w:tr>
        <w:trPr>
          <w:trHeight w:val="209"/>
        </w:trPr>
        <w:tc>
          <w:tcPr>
            <w:tcW w:w="220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rPr>
              <w:t>Number</w:t>
            </w:r>
          </w:p>
        </w:tc>
        <w:tc>
          <w:tcPr>
            <w:tcW w:w="640" w:type="dxa"/>
            <w:vAlign w:val="bottom"/>
            <w:tcBorders>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Percentage</w:t>
            </w:r>
          </w:p>
        </w:tc>
        <w:tc>
          <w:tcPr>
            <w:tcW w:w="19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Number</w:t>
            </w:r>
          </w:p>
        </w:tc>
        <w:tc>
          <w:tcPr>
            <w:tcW w:w="84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r>
      <w:tr>
        <w:trPr>
          <w:trHeight w:val="210"/>
        </w:trPr>
        <w:tc>
          <w:tcPr>
            <w:tcW w:w="22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3,482,806</w:t>
            </w:r>
          </w:p>
        </w:tc>
        <w:tc>
          <w:tcPr>
            <w:tcW w:w="640" w:type="dxa"/>
            <w:vAlign w:val="bottom"/>
            <w:tcBorders>
              <w:right w:val="single" w:sz="8" w:color="auto"/>
            </w:tcBorders>
          </w:tcPr>
          <w:p>
            <w:pPr>
              <w:spacing w:after="0"/>
              <w:rPr>
                <w:sz w:val="18"/>
                <w:szCs w:val="18"/>
                <w:color w:val="auto"/>
              </w:rPr>
            </w:pPr>
          </w:p>
        </w:tc>
        <w:tc>
          <w:tcPr>
            <w:tcW w:w="2800" w:type="dxa"/>
            <w:vAlign w:val="bottom"/>
            <w:tcBorders>
              <w:right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95.943%</w:t>
            </w:r>
          </w:p>
        </w:tc>
        <w:tc>
          <w:tcPr>
            <w:tcW w:w="19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147,282</w:t>
            </w:r>
          </w:p>
        </w:tc>
        <w:tc>
          <w:tcPr>
            <w:tcW w:w="840" w:type="dxa"/>
            <w:vAlign w:val="bottom"/>
            <w:tcBorders>
              <w:right w:val="single" w:sz="8" w:color="auto"/>
            </w:tcBorders>
          </w:tcPr>
          <w:p>
            <w:pPr>
              <w:spacing w:after="0"/>
              <w:rPr>
                <w:sz w:val="18"/>
                <w:szCs w:val="18"/>
                <w:color w:val="auto"/>
              </w:rPr>
            </w:pPr>
          </w:p>
        </w:tc>
        <w:tc>
          <w:tcPr>
            <w:tcW w:w="278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4.057%</w:t>
            </w:r>
          </w:p>
        </w:tc>
      </w:tr>
    </w:tbl>
    <w:p>
      <w:pPr>
        <w:spacing w:after="0" w:line="16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Shareholders voted to re-appoint CBIZ CPAs P.C. as the Company's auditors for the ensuing year and to authorize the directors to fix the remuneration to be paid to the auditors; provided that, Ernst &amp; Young, LLP is expected to be appointed for such year if the Merger is consummated.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 No. 10 - Adjournment Proposal</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connection with the Meeting, the Company also solicited proxies with respect to a proposal to adjourn the Meeting, if necessary, to solicit additional proxies if there is not a sufficient number of votes in favor of the Nasdaq Share Issuance Proposal. As there were sufficient votes to approve the Nasdaq Share Issuance Proposal, an adjournment of the Meeting was determined not to be necessary.</w:t>
      </w:r>
    </w:p>
    <w:p>
      <w:pPr>
        <w:spacing w:after="0" w:line="153" w:lineRule="exact"/>
        <w:rPr>
          <w:sz w:val="20"/>
          <w:szCs w:val="20"/>
          <w:color w:val="auto"/>
        </w:rPr>
      </w:pPr>
    </w:p>
    <w:p>
      <w:pPr>
        <w:ind w:right="180"/>
        <w:spacing w:after="0" w:line="397" w:lineRule="auto"/>
        <w:rPr>
          <w:sz w:val="20"/>
          <w:szCs w:val="20"/>
          <w:color w:val="auto"/>
        </w:rPr>
      </w:pPr>
      <w:r>
        <w:rPr>
          <w:rFonts w:ascii="Times New Roman" w:cs="Times New Roman" w:eastAsia="Times New Roman" w:hAnsi="Times New Roman"/>
          <w:sz w:val="22"/>
          <w:szCs w:val="22"/>
          <w:color w:val="auto"/>
        </w:rPr>
        <w:t xml:space="preserve">In connection with the Meeting, the Company has filed, or will file, a report of voting results on SEDAR+ at www.sedarplus.ca. </w:t>
      </w:r>
      <w:r>
        <w:rPr>
          <w:rFonts w:ascii="Times New Roman" w:cs="Times New Roman" w:eastAsia="Times New Roman" w:hAnsi="Times New Roman"/>
          <w:sz w:val="22"/>
          <w:szCs w:val="22"/>
          <w:b w:val="1"/>
          <w:bCs w:val="1"/>
          <w:color w:val="auto"/>
        </w:rPr>
        <w:t>About the Merger</w:t>
      </w:r>
    </w:p>
    <w:p>
      <w:pPr>
        <w:jc w:val="both"/>
        <w:spacing w:after="0" w:line="244" w:lineRule="auto"/>
        <w:rPr>
          <w:sz w:val="20"/>
          <w:szCs w:val="20"/>
          <w:color w:val="auto"/>
        </w:rPr>
      </w:pPr>
      <w:r>
        <w:rPr>
          <w:rFonts w:ascii="Times New Roman" w:cs="Times New Roman" w:eastAsia="Times New Roman" w:hAnsi="Times New Roman"/>
          <w:sz w:val="22"/>
          <w:szCs w:val="22"/>
          <w:color w:val="auto"/>
        </w:rPr>
        <w:t>Consummation of the Merger is subject to the satisfaction or waiver of each of the other closing conditions set forth in the Merger Agreement. For a more complete description of the closing conditions under the Merger Agreement, please see the section titled "The Merger Agreement - Conditions to the Completion of the Merger" beginning on page 214 of the Circular.</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the Company:</w:t>
      </w:r>
    </w:p>
    <w:p>
      <w:pPr>
        <w:spacing w:after="0" w:line="17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Company is a pharmaceutical company focused on developing a pipeline of proprietary small molecule drug candidates targeting the CB1/CB2 receptors. The Company's pipeline consists of three separate programs in the treatment of Alzheimer's, ocular and dermatological indications. For more information, visit </w:t>
      </w:r>
      <w:r>
        <w:rPr>
          <w:rFonts w:ascii="Times New Roman" w:cs="Times New Roman" w:eastAsia="Times New Roman" w:hAnsi="Times New Roman"/>
          <w:sz w:val="22"/>
          <w:szCs w:val="22"/>
          <w:u w:val="single" w:color="auto"/>
          <w:color w:val="0000FF"/>
        </w:rPr>
        <w:t>www.inmedpharma.com</w:t>
      </w:r>
      <w:r>
        <w:rPr>
          <w:rFonts w:ascii="Times New Roman" w:cs="Times New Roman" w:eastAsia="Times New Roman" w:hAnsi="Times New Roman"/>
          <w:sz w:val="22"/>
          <w:szCs w:val="22"/>
          <w:color w:val="auto"/>
        </w:rPr>
        <w: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Contact: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Colin Clancy</w:t>
      </w:r>
    </w:p>
    <w:p>
      <w:pPr>
        <w:spacing w:after="0" w:line="230" w:lineRule="auto"/>
        <w:rPr>
          <w:sz w:val="20"/>
          <w:szCs w:val="20"/>
          <w:color w:val="auto"/>
        </w:rPr>
      </w:pPr>
      <w:r>
        <w:rPr>
          <w:rFonts w:ascii="Times New Roman" w:cs="Times New Roman" w:eastAsia="Times New Roman" w:hAnsi="Times New Roman"/>
          <w:sz w:val="22"/>
          <w:szCs w:val="22"/>
          <w:color w:val="auto"/>
        </w:rPr>
        <w:t>Vice President, Investor Relations</w:t>
      </w:r>
    </w:p>
    <w:p>
      <w:pPr>
        <w:spacing w:after="0" w:line="231" w:lineRule="auto"/>
        <w:rPr>
          <w:sz w:val="20"/>
          <w:szCs w:val="20"/>
          <w:color w:val="auto"/>
        </w:rPr>
      </w:pPr>
      <w:r>
        <w:rPr>
          <w:rFonts w:ascii="Times New Roman" w:cs="Times New Roman" w:eastAsia="Times New Roman" w:hAnsi="Times New Roman"/>
          <w:sz w:val="22"/>
          <w:szCs w:val="22"/>
          <w:color w:val="auto"/>
        </w:rPr>
        <w:t>and Corporate Communications</w:t>
      </w:r>
    </w:p>
    <w:p>
      <w:pPr>
        <w:spacing w:after="0" w:line="230" w:lineRule="auto"/>
        <w:rPr>
          <w:sz w:val="20"/>
          <w:szCs w:val="20"/>
          <w:color w:val="auto"/>
        </w:rPr>
      </w:pPr>
      <w:r>
        <w:rPr>
          <w:rFonts w:ascii="Times New Roman" w:cs="Times New Roman" w:eastAsia="Times New Roman" w:hAnsi="Times New Roman"/>
          <w:sz w:val="22"/>
          <w:szCs w:val="22"/>
          <w:color w:val="auto"/>
        </w:rPr>
        <w:t>T: +1 604 416 0999</w:t>
      </w:r>
    </w:p>
    <w:p>
      <w:pPr>
        <w:spacing w:after="0" w:line="1" w:lineRule="exact"/>
        <w:rPr>
          <w:sz w:val="20"/>
          <w:szCs w:val="20"/>
          <w:color w:val="auto"/>
        </w:rPr>
      </w:pPr>
    </w:p>
    <w:p>
      <w:pPr>
        <w:ind w:left="300" w:hanging="292"/>
        <w:spacing w:after="0"/>
        <w:tabs>
          <w:tab w:leader="none" w:pos="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ir@inmedpharma.com</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Forward-Looking Information:</w:t>
      </w:r>
    </w:p>
    <w:p>
      <w:pPr>
        <w:spacing w:after="0" w:line="16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news release contains "forward-looking information" and "forward-looking statements" (collectively, "</w:t>
      </w:r>
      <w:r>
        <w:rPr>
          <w:rFonts w:ascii="Times New Roman" w:cs="Times New Roman" w:eastAsia="Times New Roman" w:hAnsi="Times New Roman"/>
          <w:sz w:val="22"/>
          <w:szCs w:val="22"/>
          <w:b w:val="1"/>
          <w:bCs w:val="1"/>
          <w:color w:val="auto"/>
        </w:rPr>
        <w:t>forward-looking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information</w:t>
      </w:r>
      <w:r>
        <w:rPr>
          <w:rFonts w:ascii="Times New Roman" w:cs="Times New Roman" w:eastAsia="Times New Roman" w:hAnsi="Times New Roman"/>
          <w:sz w:val="22"/>
          <w:szCs w:val="22"/>
          <w:color w:val="auto"/>
        </w:rPr>
        <w:t>") within the meaning of applicable securities laws. Forward-looking statements are frequently, but not always,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identified by words such as "expects", "anticipates", "believes", "intends", "potential", "possible", "would" and similar expressions. Such statements, based as they are on current expectations of management, inherently involve numerous risks, uncertainties and assumptions, known and unknown, many of which are beyond our control. Forward-looking information is based on management's current expectations and beliefs and is subject to a number of risks and uncertainties that could cause actual results to differ materially from those described in the forward-looking statements. Without limiting the foregoing, forward-looking information in this news release includes, but is not limited to, statements about: developing a pipeline of proprietary small molecule drug candidates for diseases with high unmet medical needs, the Merger, the change of control of the Company that will result from the First Merger, the closing of the Merger (if at all) and the expected timing thereof, the reductions in the capital of the Company in connection with any distributions to the Company's shareholders, including any InMed Legacy Transaction Distributions, the redomestication of the Company from British Columbia, Canada to the State of Nevada and the timing thereof, the reconstitution of the board of directors of the Company upon the completion of the Merger, the Mentari Therapeutics, Inc. 2026 Stock Incentive Plan, the Mentari Therapeutics, Inc. 2026 Employee Stock Purchase Plan, Merger-related compensation arrangements for the Company's named executive officers, the appointment of Ernst &amp; Young, LLP as the Company's auditor for the ensuing year, the satisfaction or waiver of closing conditions under the Merger Agreement, and trading of the Company's Common Shares on Nasdaq post-Consolidation.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53275" cy="469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jc w:val="both"/>
        <w:spacing w:after="0" w:line="233" w:lineRule="auto"/>
        <w:rPr>
          <w:sz w:val="20"/>
          <w:szCs w:val="20"/>
          <w:color w:val="auto"/>
        </w:rPr>
      </w:pPr>
      <w:r>
        <w:rPr>
          <w:rFonts w:ascii="Times New Roman" w:cs="Times New Roman" w:eastAsia="Times New Roman" w:hAnsi="Times New Roman"/>
          <w:sz w:val="22"/>
          <w:szCs w:val="22"/>
          <w:color w:val="auto"/>
        </w:rPr>
        <w:t>Additionally, there are known and unknown risk factors which could cause the Company's actual results, performance, or achievements to be materially different from any future results, performance or achievements expressed or implied by the forward-looking information contained herein. These risks and uncertainties include, but are not limited to, risks related to: the Merger may not be completed on the anticipated timeline or at all, the failure to satisfy the conditions to closing, the outcome of preclinical studies and clinical trials, regulatory approval processes, the combined company's reliance on third parties, protection of intellectual property, the combined company's need for substantial additional funding and Nasdaq's effecting of the Consolidation and approval of the initial listing application of the combined company. Should one or more of these risks or uncertainties materialize, or should any of the Company's, Mentari's or the combined company's assumptions prove incorrect, actual results may vary in material respects from those projected in these forward-looking statements. A complete discussion of the risks and uncertainties facing the Company's stand-alone business is disclosed in the Company's Annual Report on Form 10-K, as may be updated from time to time by the Company's Quarterly Reports on Form 10-Q and other filings with the Securities and Exchange Commission available at www.sec.gov.</w:t>
      </w:r>
    </w:p>
    <w:p>
      <w:pPr>
        <w:spacing w:after="0" w:line="14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21"/>
          <w:szCs w:val="21"/>
          <w:color w:val="auto"/>
        </w:rPr>
        <w:t>All forward-looking information herein is qualified in its entirety by this cautionary statement, and the Company disclaims any obligation to revise or update any such forward-looking information or to publicly announce the result of any revisions to any of the forward-looking information contained herein to reflect future results, events or developments, except as required by law.</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 Offer or Solicitation</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communication is not intended to and does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103505</wp:posOffset>
            </wp:positionV>
            <wp:extent cx="71532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line="262" w:lineRule="auto"/>
        <w:rPr>
          <w:sz w:val="20"/>
          <w:szCs w:val="20"/>
          <w:color w:val="auto"/>
        </w:rPr>
      </w:pPr>
      <w:r>
        <w:rPr>
          <w:rFonts w:ascii="Times New Roman" w:cs="Times New Roman" w:eastAsia="Times New Roman" w:hAnsi="Times New Roman"/>
          <w:sz w:val="22"/>
          <w:szCs w:val="22"/>
          <w:b w:val="1"/>
          <w:bCs w:val="1"/>
          <w:color w:val="auto"/>
        </w:rPr>
        <w:t>NEITHER THE SEC NOR ANY STATE SECURITIES COMMISSION HAS APPROVED OR DISAPPROVED OF THE SECURITIES OR DETERMINED IF THIS COMMUNICATION IS TRUTHFUL OR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87630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2026-11-05T07:09:29Z</dcterms:created>
  <dcterms:modified xsi:type="dcterms:W3CDTF">2026-11-05T07:09:29Z</dcterms:modified>
</cp:coreProperties>
</file>