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November 3, 2026</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u w:val="single" w:color="auto"/>
          <w:color w:val="auto"/>
        </w:rPr>
        <w:t>INMED PHARMACEUTICALS INC.</w:t>
      </w:r>
    </w:p>
    <w:p>
      <w:pPr>
        <w:spacing w:after="0" w:line="53"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45"/>
        </w:trPr>
        <w:tc>
          <w:tcPr>
            <w:tcW w:w="2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420" w:type="dxa"/>
            <w:vAlign w:val="bottom"/>
          </w:tcPr>
          <w:p>
            <w:pPr>
              <w:spacing w:after="0"/>
              <w:rPr>
                <w:sz w:val="24"/>
                <w:szCs w:val="24"/>
                <w:color w:val="auto"/>
              </w:rPr>
            </w:pPr>
          </w:p>
        </w:tc>
        <w:tc>
          <w:tcPr>
            <w:tcW w:w="2280" w:type="dxa"/>
            <w:vAlign w:val="bottom"/>
            <w:gridSpan w:val="3"/>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001-39685</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98-1428279</w:t>
            </w: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2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38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280" w:type="dxa"/>
            <w:vAlign w:val="bottom"/>
          </w:tcPr>
          <w:p>
            <w:pPr>
              <w:spacing w:after="0"/>
              <w:rPr>
                <w:sz w:val="21"/>
                <w:szCs w:val="21"/>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8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gridSpan w:val="8"/>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Suite 1445 – 885 West Georgia Street</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60" w:type="dxa"/>
            <w:vAlign w:val="bottom"/>
            <w:tcBorders>
              <w:bottom w:val="single" w:sz="8" w:color="auto"/>
            </w:tcBorders>
            <w:gridSpan w:val="6"/>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Vancouver, British Columbia, Canada V6C 3E8</w:t>
            </w:r>
          </w:p>
        </w:tc>
        <w:tc>
          <w:tcPr>
            <w:tcW w:w="9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7"/>
        </w:trPr>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669-7207</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80" w:type="dxa"/>
            <w:vAlign w:val="bottom"/>
          </w:tcPr>
          <w:p>
            <w:pPr>
              <w:spacing w:after="0"/>
              <w:rPr>
                <w:sz w:val="24"/>
                <w:szCs w:val="24"/>
                <w:color w:val="auto"/>
              </w:rPr>
            </w:pPr>
          </w:p>
        </w:tc>
        <w:tc>
          <w:tcPr>
            <w:tcW w:w="1120" w:type="dxa"/>
            <w:vAlign w:val="bottom"/>
            <w:tcBorders>
              <w:top w:val="single" w:sz="8" w:color="auto"/>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5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980" w:firstLine="8"/>
        <w:spacing w:after="0" w:line="45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9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4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INM</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7486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3, 2026, the Company reported financial results for the first quarter of the fiscal year 2027 which ended September 30, 2026.</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Exhibits 99.1, is being furnished and shall not be deemed "filed" for purposes of Section 18 of the Securities Exchange Act of 1934, as amended (the "Exchange Act"), or otherwise subject to the liabilities of that section. The information set forth in this Item 7.01, including Exhibit 99.1, shall not be deemed incorporated by reference into any other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shall be deemed to be furnished, and not filed:</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November 03,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20" w:hanging="121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as Exhibit 101)</w:t>
      </w:r>
    </w:p>
    <w:p>
      <w:pPr>
        <w:spacing w:after="0" w:line="162"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INMED PHARMACEUTICALS INC.</w:t>
            </w:r>
          </w:p>
        </w:tc>
        <w:tc>
          <w:tcPr>
            <w:tcW w:w="2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Eric A Adams</w:t>
            </w:r>
          </w:p>
        </w:tc>
        <w:tc>
          <w:tcPr>
            <w:tcW w:w="20" w:type="dxa"/>
            <w:vAlign w:val="bottom"/>
          </w:tcPr>
          <w:p>
            <w:pPr>
              <w:spacing w:after="0"/>
              <w:rPr>
                <w:sz w:val="24"/>
                <w:szCs w:val="24"/>
                <w:color w:val="auto"/>
              </w:rPr>
            </w:pPr>
          </w:p>
        </w:tc>
      </w:tr>
      <w:tr>
        <w:trPr>
          <w:trHeight w:val="191"/>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A Adams</w:t>
            </w:r>
          </w:p>
        </w:tc>
        <w:tc>
          <w:tcPr>
            <w:tcW w:w="2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20" w:type="dxa"/>
            <w:vAlign w:val="bottom"/>
          </w:tcPr>
          <w:p>
            <w:pPr>
              <w:spacing w:after="0"/>
              <w:rPr>
                <w:sz w:val="20"/>
                <w:szCs w:val="20"/>
                <w:color w:val="auto"/>
              </w:rPr>
            </w:pPr>
          </w:p>
        </w:tc>
      </w:tr>
      <w:tr>
        <w:trPr>
          <w:trHeight w:val="310"/>
        </w:trPr>
        <w:tc>
          <w:tcPr>
            <w:tcW w:w="3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3720" w:type="dxa"/>
            <w:vAlign w:val="bottom"/>
            <w:shd w:val="clear" w:color="auto" w:fill="000000"/>
          </w:tcPr>
          <w:p>
            <w:pPr>
              <w:spacing w:after="0"/>
              <w:rPr>
                <w:sz w:val="8"/>
                <w:szCs w:val="8"/>
                <w:color w:val="auto"/>
              </w:rPr>
            </w:pPr>
          </w:p>
        </w:tc>
        <w:tc>
          <w:tcPr>
            <w:tcW w:w="2480" w:type="dxa"/>
            <w:vAlign w:val="bottom"/>
            <w:shd w:val="clear" w:color="auto" w:fill="000000"/>
          </w:tcPr>
          <w:p>
            <w:pPr>
              <w:spacing w:after="0"/>
              <w:rPr>
                <w:sz w:val="8"/>
                <w:szCs w:val="8"/>
                <w:color w:val="auto"/>
              </w:rPr>
            </w:pPr>
          </w:p>
        </w:tc>
        <w:tc>
          <w:tcPr>
            <w:tcW w:w="504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-72390</wp:posOffset>
            </wp:positionV>
            <wp:extent cx="33655"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857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-72390</wp:posOffset>
            </wp:positionV>
            <wp:extent cx="3429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572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InMed Reports First Quarter Fiscal 2027 Financial Results and Provides Corporate Update</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Vancouver, British Columbia--(Newsfile Corp. - November 3, 2026) - InMed Pharmaceuticals Inc. (NASDAQ: INM) ("InMed" or the "Company"), a pharmaceutical company focused on developing a pipeline of proprietary small molecule drug candidates for diseases with high unmet medical needs, today reported financial results for its first quarter of fiscal 2027, ended September 30, 2026, and provided a corporate update.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Company's full financial statements and related MD&amp;A for the quarter ended September 30, 2026, are available at </w:t>
      </w:r>
      <w:r>
        <w:rPr>
          <w:rFonts w:ascii="Times New Roman" w:cs="Times New Roman" w:eastAsia="Times New Roman" w:hAnsi="Times New Roman"/>
          <w:sz w:val="22"/>
          <w:szCs w:val="22"/>
          <w:u w:val="single" w:color="auto"/>
          <w:color w:val="0000EE"/>
        </w:rPr>
        <w:t>www.inmedpharma.com</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u w:val="single" w:color="auto"/>
          <w:color w:val="0000EE"/>
        </w:rPr>
        <w:t>www.sedarplus.ca</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u w:val="single" w:color="auto"/>
          <w:color w:val="0000EE"/>
        </w:rPr>
        <w:t>www.sec.gov</w:t>
      </w:r>
      <w:r>
        <w:rPr>
          <w:rFonts w:ascii="Times New Roman" w:cs="Times New Roman" w:eastAsia="Times New Roman" w:hAnsi="Times New Roman"/>
          <w:sz w:val="22"/>
          <w:szCs w:val="22"/>
          <w:color w:val="000000"/>
        </w:rPr>
        <w: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approaching an important milestone in our proposed merger with Mentari Therapeutics, with our annual general and special meeting scheduled for November 4, 2026," commented Eric A. Adams, InMed President and CEO. "Our focus remains on completing the transaction, which we believe provides shareholders with an opportunity to participate in the development of Mentari's migraine prevention pipeline. In parallel, we continue to pursue opportunities to realize value from InMed's legacy pharmaceutical assets for our shareholders through the proposed contingent value rights structure."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Update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Proposed Merger with Mentari Therapeutics</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InMed continues to work toward completing its proposed merger with Mentari Therapeutics, Inc. ("Mentari"), a privately held biotechnology company developing therapies for migraine prevention. Following completion of the transaction, the combined company is expected to operate under the Mentari Therapeutics name and seek to trade on the Nasdaq Capital Market under the ticker symbol "MTRI," subject to Nasdaq approval.</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Mentari has announced private placements totaling approximately US$490 million in expected aggregate gross proceeds in connection with the transaction. This financing is expected to support operations into 2029, including through Phase 2a readouts for both of Mentari's lead PACAP-targeted programs.</w:t>
      </w:r>
    </w:p>
    <w:p>
      <w:pPr>
        <w:spacing w:after="0" w:line="14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proposed merger is expected to close in the fourth quarter of calendar 2026, subject to the satisfaction or waiver of the remaining closing conditions, including the required shareholder approvals.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General and Special Meeting - November 4, 2026</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InMed's annual general and special meeting of shareholders is scheduled for November 4, 2026, at 12:00 p.m. Eastern Time. Shareholders will be asked to consider proposals necessary to complete the proposed merger and related transactions, together with customary annual meeting business.</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definitive proxy statement/prospectus and management information circular provides details of the transaction, the proposals to be considered and instructions for voting. Shareholders are encouraged to review these materials carefully and submit their votes before the applicable voting deadline. InMed's Board of Directors recommends that shareholders vote "FOR" the proposals described in the meeting materials.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Nasdaq Compliance Update</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On September 16, 2026, InMed received a letter from the Listing Qualifications Department of The Nasdaq Stock Market LLC ("Nasdaq") notifying the Company that its shareholders' equity of $1,075,007, as reported in its Annual Report on Form 10-K for the fiscal year ended June 30, 2026, was below the $2.5 million minimum required under Nasdaq Listing Rule 5550(b)(1). The notice had no immediate effect on the listing of the Company's common shares, and Nasdaq provided the Company with 45 calendar days to submit a plan to regain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 w:name="page4"/>
    <w:bookmarkEnd w:id="3"/>
    <w:p>
      <w:pPr>
        <w:jc w:val="both"/>
        <w:spacing w:after="0" w:line="238" w:lineRule="auto"/>
        <w:rPr>
          <w:sz w:val="20"/>
          <w:szCs w:val="20"/>
          <w:color w:val="auto"/>
        </w:rPr>
      </w:pPr>
      <w:r>
        <w:rPr>
          <w:rFonts w:ascii="Times New Roman" w:cs="Times New Roman" w:eastAsia="Times New Roman" w:hAnsi="Times New Roman"/>
          <w:sz w:val="22"/>
          <w:szCs w:val="22"/>
          <w:color w:val="auto"/>
        </w:rPr>
        <w:t>On October 30, 2026, the Company submitted its compliance plan and Nasdaq indicated that it had accepted the compliance plan, and determined that InMed has until March 15, 2027, to regain compliance with Nasdaq Listing Rule 5550(b)(1). The Company expects completion of the proposed merger with Mentari and the associated pre-closing financing to enable it to regain compliance with the minimum shareholders' equity requirement. There can be no assurance that Nasdaq will accept the Company's plan or that the Company will regain compliance within any granted extension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InMed Pharmaceutical Assets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During the quarter, InMed completed a pre-IND meeting with the FDA and reached alignment on the next steps in the development of INM-901 in the treatment of Alzheimer's disease.</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InMed continues to pursue potential divestiture, licensing and other strategic opportunities for its legacy pharmaceutical programs: INM-901 for Alzheimer's disease, INM-089 for dry age-related macular degeneration and INM-755 for dermatological indications.</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proposed merger transaction includes a contingent value rights ("CVR") structure intended to allow eligible InMed shareholders to participate in potential proceeds from the future monetization of these assets, subject to the terms of the CVR agreement. There can be no assurance that an asset transaction will be completed or that any payments will be made under the CVRs.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Commentary</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Company's research and development expenses were $0.2 million for the three months ended September 30, 2026, compared with $0.6 million for the three months ended September 30, 2025. The decrease is primarily due to a reduction in operating activity resulting from the pending Merger.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incurred general and administrative expenses of $1.8 million for the three months ended September 30, 2026, compared with $1.2 million for the same period in 2025.</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September 30, 2026, the Company's cash and cash equivalents were $1.0 million, compared with $2.2 million as of June 30, 2026. The Company continues to closely monitor expenses while working toward completing the proposed merger with Mentari and pursuing strategic opportunities for its legacy pharmaceutical assets.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Based on current forecasts, the Company expects its available cash to fund planned operating expenses and capital expenditures into mid-November, depending on the level and timing of expenditures and the timing of completion of 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InMed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CONDENSEDCONSOLIDATEDBALANCESHEETS</w:t>
      </w:r>
    </w:p>
    <w:p>
      <w:pPr>
        <w:spacing w:after="0"/>
        <w:rPr>
          <w:sz w:val="20"/>
          <w:szCs w:val="20"/>
          <w:color w:val="auto"/>
        </w:rPr>
      </w:pPr>
      <w:r>
        <w:rPr>
          <w:rFonts w:ascii="Times New Roman" w:cs="Times New Roman" w:eastAsia="Times New Roman" w:hAnsi="Times New Roman"/>
          <w:sz w:val="22"/>
          <w:szCs w:val="22"/>
          <w:color w:val="auto"/>
        </w:rPr>
        <w:t>Expressed in U.S.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June 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920" w:type="dxa"/>
            <w:vAlign w:val="bottom"/>
          </w:tcPr>
          <w:p>
            <w:pPr>
              <w:spacing w:after="0"/>
              <w:rPr>
                <w:sz w:val="16"/>
                <w:szCs w:val="16"/>
                <w:color w:val="auto"/>
              </w:rPr>
            </w:pPr>
          </w:p>
        </w:tc>
        <w:tc>
          <w:tcPr>
            <w:tcW w:w="14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1,094,488</w:t>
            </w:r>
          </w:p>
        </w:tc>
        <w:tc>
          <w:tcPr>
            <w:tcW w:w="146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2,194,413</w:t>
            </w: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40,331</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Prepaidsand other current assets</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99,682</w:t>
            </w:r>
          </w:p>
        </w:tc>
        <w:tc>
          <w:tcPr>
            <w:tcW w:w="146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241,296</w:t>
            </w: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Held for sale equipment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17,583</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Current assetsof discontinued operations</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11,355</w:t>
            </w:r>
          </w:p>
        </w:tc>
        <w:tc>
          <w:tcPr>
            <w:tcW w:w="146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181,327</w:t>
            </w: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1,263,439</w:t>
            </w:r>
          </w:p>
        </w:tc>
        <w:tc>
          <w:tcPr>
            <w:tcW w:w="2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2,676,706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Property, equipment and ROU assets, net</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221,037</w:t>
            </w: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42,423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132,324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Borders>
              <w:top w:val="single" w:sz="8" w:color="E6EFFF"/>
              <w:bottom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1,305,862</w:t>
            </w:r>
          </w:p>
        </w:tc>
        <w:tc>
          <w:tcPr>
            <w:tcW w:w="220" w:type="dxa"/>
            <w:vAlign w:val="bottom"/>
            <w:tcBorders>
              <w:top w:val="single" w:sz="8" w:color="E6EFFF"/>
              <w:bottom w:val="single" w:sz="8" w:color="E6EFFF"/>
            </w:tcBorders>
            <w:shd w:val="clear" w:color="auto" w:fill="E6EFFF"/>
          </w:tcPr>
          <w:p>
            <w:pPr>
              <w:spacing w:after="0"/>
              <w:rPr>
                <w:sz w:val="18"/>
                <w:szCs w:val="18"/>
                <w:color w:val="auto"/>
              </w:rPr>
            </w:pP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3,030,067</w:t>
            </w:r>
          </w:p>
        </w:tc>
        <w:tc>
          <w:tcPr>
            <w:tcW w:w="20" w:type="dxa"/>
            <w:vAlign w:val="bottom"/>
            <w:tcBorders>
              <w:top w:val="single" w:sz="8" w:color="E6EFFF"/>
              <w:bottom w:val="single" w:sz="8" w:color="E6EFFF"/>
            </w:tcBorders>
            <w:shd w:val="clear" w:color="auto" w:fill="E6EFFF"/>
          </w:tcPr>
          <w:p>
            <w:pPr>
              <w:spacing w:after="0"/>
              <w:rPr>
                <w:sz w:val="18"/>
                <w:szCs w:val="18"/>
                <w:color w:val="auto"/>
              </w:rPr>
            </w:pPr>
          </w:p>
        </w:tc>
        <w:tc>
          <w:tcPr>
            <w:tcW w:w="200" w:type="dxa"/>
            <w:vAlign w:val="bottom"/>
            <w:tcBorders>
              <w:top w:val="single" w:sz="8" w:color="E6EFFF"/>
              <w:bottom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Accountspayable and accrued liabilities</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2,493,903</w:t>
            </w:r>
          </w:p>
        </w:tc>
        <w:tc>
          <w:tcPr>
            <w:tcW w:w="146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1,843,327</w:t>
            </w: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liabilitiesof discontinued operations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11,355</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111,733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4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2,505,258</w:t>
            </w:r>
          </w:p>
        </w:tc>
        <w:tc>
          <w:tcPr>
            <w:tcW w:w="220" w:type="dxa"/>
            <w:vAlign w:val="bottom"/>
            <w:tcBorders>
              <w:top w:val="single" w:sz="8" w:color="E6EFFF"/>
            </w:tcBorders>
            <w:shd w:val="clear" w:color="auto" w:fill="E6EFFF"/>
          </w:tcPr>
          <w:p>
            <w:pPr>
              <w:spacing w:after="0"/>
              <w:rPr>
                <w:sz w:val="18"/>
                <w:szCs w:val="18"/>
                <w:color w:val="auto"/>
              </w:rPr>
            </w:pPr>
          </w:p>
        </w:tc>
        <w:tc>
          <w:tcPr>
            <w:tcW w:w="144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1,955,060</w:t>
            </w:r>
          </w:p>
        </w:tc>
        <w:tc>
          <w:tcPr>
            <w:tcW w:w="20" w:type="dxa"/>
            <w:vAlign w:val="bottom"/>
            <w:tcBorders>
              <w:top w:val="single" w:sz="8" w:color="E6EFFF"/>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20" w:type="dxa"/>
            <w:vAlign w:val="bottom"/>
            <w:shd w:val="clear" w:color="auto" w:fill="E6EFFF"/>
          </w:tcPr>
          <w:p>
            <w:pPr>
              <w:spacing w:after="0" w:line="198" w:lineRule="exact"/>
              <w:rPr>
                <w:sz w:val="20"/>
                <w:szCs w:val="20"/>
                <w:color w:val="auto"/>
              </w:rPr>
            </w:pPr>
            <w:r>
              <w:rPr>
                <w:rFonts w:ascii="Times New Roman" w:cs="Times New Roman" w:eastAsia="Times New Roman" w:hAnsi="Times New Roman"/>
                <w:sz w:val="18"/>
                <w:szCs w:val="18"/>
                <w:color w:val="auto"/>
              </w:rPr>
              <w:t>Common shares, no par value, unlimited authorized shares: 5,493,735 and 5,339,436 asof September 30,</w:t>
            </w:r>
          </w:p>
        </w:tc>
        <w:tc>
          <w:tcPr>
            <w:tcW w:w="1660" w:type="dxa"/>
            <w:vAlign w:val="bottom"/>
            <w:gridSpan w:val="2"/>
            <w:vMerge w:val="restart"/>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94,408,309</w:t>
            </w:r>
          </w:p>
        </w:tc>
        <w:tc>
          <w:tcPr>
            <w:tcW w:w="1440" w:type="dxa"/>
            <w:vAlign w:val="bottom"/>
            <w:shd w:val="clear" w:color="auto" w:fill="E6EFFF"/>
          </w:tcPr>
          <w:p>
            <w:pPr>
              <w:spacing w:after="0"/>
              <w:rPr>
                <w:sz w:val="17"/>
                <w:szCs w:val="17"/>
                <w:color w:val="auto"/>
              </w:rPr>
            </w:pPr>
          </w:p>
        </w:tc>
        <w:tc>
          <w:tcPr>
            <w:tcW w:w="2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2026 and June 30, 2026, respectively, issued and outstanding</w:t>
            </w:r>
          </w:p>
        </w:tc>
        <w:tc>
          <w:tcPr>
            <w:tcW w:w="1660" w:type="dxa"/>
            <w:vAlign w:val="bottom"/>
            <w:gridSpan w:val="2"/>
            <w:vMerge w:val="continue"/>
            <w:shd w:val="clear" w:color="auto" w:fill="E6EFFF"/>
          </w:tcPr>
          <w:p>
            <w:pPr>
              <w:spacing w:after="0"/>
              <w:rPr>
                <w:sz w:val="20"/>
                <w:szCs w:val="20"/>
                <w:color w:val="auto"/>
              </w:rPr>
            </w:pPr>
          </w:p>
        </w:tc>
        <w:tc>
          <w:tcPr>
            <w:tcW w:w="1660" w:type="dxa"/>
            <w:vAlign w:val="bottom"/>
            <w:gridSpan w:val="3"/>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94,282,698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36,824,910</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36,894,146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(132,561,184)</w:t>
            </w:r>
          </w:p>
        </w:tc>
        <w:tc>
          <w:tcPr>
            <w:tcW w:w="1660" w:type="dxa"/>
            <w:vAlign w:val="bottom"/>
            <w:gridSpan w:val="3"/>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(130,230,406)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128,569</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128,569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(1,199,396)</w:t>
            </w:r>
          </w:p>
        </w:tc>
        <w:tc>
          <w:tcPr>
            <w:tcW w:w="220" w:type="dxa"/>
            <w:vAlign w:val="bottom"/>
            <w:tcBorders>
              <w:top w:val="single" w:sz="8" w:color="E6EFFF"/>
            </w:tcBorders>
            <w:shd w:val="clear" w:color="auto" w:fill="E6EFFF"/>
          </w:tcPr>
          <w:p>
            <w:pPr>
              <w:spacing w:after="0"/>
              <w:rPr>
                <w:sz w:val="18"/>
                <w:szCs w:val="18"/>
                <w:color w:val="auto"/>
              </w:rPr>
            </w:pP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1,075,007</w:t>
            </w:r>
          </w:p>
        </w:tc>
        <w:tc>
          <w:tcPr>
            <w:tcW w:w="20" w:type="dxa"/>
            <w:vAlign w:val="bottom"/>
            <w:tcBorders>
              <w:top w:val="single" w:sz="8" w:color="E6EFFF"/>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1,305,862</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3,030,067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92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InMed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CONDENSEDCONSOLIDATEDSTATEMENTS OFOPERATIONS (UNAUDITED)</w:t>
      </w:r>
    </w:p>
    <w:p>
      <w:pPr>
        <w:spacing w:after="0"/>
        <w:rPr>
          <w:sz w:val="20"/>
          <w:szCs w:val="20"/>
          <w:color w:val="auto"/>
        </w:rPr>
      </w:pPr>
      <w:r>
        <w:rPr>
          <w:rFonts w:ascii="Times New Roman" w:cs="Times New Roman" w:eastAsia="Times New Roman" w:hAnsi="Times New Roman"/>
          <w:sz w:val="22"/>
          <w:szCs w:val="22"/>
          <w:color w:val="auto"/>
        </w:rPr>
        <w:t>Expressed in U.S.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40" w:type="dxa"/>
            <w:vAlign w:val="bottom"/>
          </w:tcPr>
          <w:p>
            <w:pPr>
              <w:spacing w:after="0"/>
              <w:rPr>
                <w:sz w:val="18"/>
                <w:szCs w:val="18"/>
                <w:color w:val="auto"/>
              </w:rPr>
            </w:pPr>
          </w:p>
        </w:tc>
      </w:tr>
      <w:tr>
        <w:trPr>
          <w:trHeight w:val="238"/>
        </w:trPr>
        <w:tc>
          <w:tcPr>
            <w:tcW w:w="792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920" w:type="dxa"/>
            <w:vAlign w:val="bottom"/>
          </w:tcPr>
          <w:p>
            <w:pPr>
              <w:spacing w:after="0"/>
              <w:rPr>
                <w:sz w:val="18"/>
                <w:szCs w:val="18"/>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206,015</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575,458</w:t>
            </w: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1,804,625</w:t>
            </w:r>
          </w:p>
        </w:tc>
        <w:tc>
          <w:tcPr>
            <w:tcW w:w="54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1,239,058</w:t>
            </w:r>
          </w:p>
        </w:tc>
        <w:tc>
          <w:tcPr>
            <w:tcW w:w="4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52,603</w:t>
            </w: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(1,488)</w:t>
            </w:r>
          </w:p>
        </w:tc>
        <w:tc>
          <w:tcPr>
            <w:tcW w:w="54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56,994</w:t>
            </w:r>
          </w:p>
        </w:tc>
        <w:tc>
          <w:tcPr>
            <w:tcW w:w="40" w:type="dxa"/>
            <w:vAlign w:val="bottom"/>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2,009,320</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1,924,113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14,308</w:t>
            </w:r>
          </w:p>
        </w:tc>
        <w:tc>
          <w:tcPr>
            <w:tcW w:w="54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93,765</w:t>
            </w:r>
          </w:p>
        </w:tc>
        <w:tc>
          <w:tcPr>
            <w:tcW w:w="40" w:type="dxa"/>
            <w:vAlign w:val="bottom"/>
          </w:tcPr>
          <w:p>
            <w:pPr>
              <w:spacing w:after="0"/>
              <w:rPr>
                <w:sz w:val="18"/>
                <w:szCs w:val="18"/>
                <w:color w:val="auto"/>
              </w:rPr>
            </w:pPr>
          </w:p>
        </w:tc>
      </w:tr>
      <w:tr>
        <w:trPr>
          <w:trHeight w:val="25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taxes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(1,995,012)</w:t>
            </w:r>
          </w:p>
        </w:tc>
        <w:tc>
          <w:tcPr>
            <w:tcW w:w="5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(1,830,348)</w:t>
            </w:r>
          </w:p>
        </w:tc>
        <w:tc>
          <w:tcPr>
            <w:tcW w:w="40" w:type="dxa"/>
            <w:vAlign w:val="bottom"/>
          </w:tcPr>
          <w:p>
            <w:pPr>
              <w:spacing w:after="0"/>
              <w:rPr>
                <w:sz w:val="22"/>
                <w:szCs w:val="22"/>
                <w:color w:val="auto"/>
              </w:rPr>
            </w:pPr>
          </w:p>
        </w:tc>
      </w:tr>
      <w:tr>
        <w:trPr>
          <w:trHeight w:val="197"/>
        </w:trPr>
        <w:tc>
          <w:tcPr>
            <w:tcW w:w="7920" w:type="dxa"/>
            <w:vAlign w:val="bottom"/>
            <w:tcBorders>
              <w:top w:val="single" w:sz="8" w:color="E6EFFF"/>
            </w:tcBorders>
            <w:shd w:val="clear" w:color="auto" w:fill="E6EFFF"/>
          </w:tcPr>
          <w:p>
            <w:pPr>
              <w:spacing w:after="0"/>
              <w:rPr>
                <w:sz w:val="17"/>
                <w:szCs w:val="17"/>
                <w:color w:val="auto"/>
              </w:rPr>
            </w:pPr>
          </w:p>
        </w:tc>
        <w:tc>
          <w:tcPr>
            <w:tcW w:w="144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54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9"/>
        </w:trPr>
        <w:tc>
          <w:tcPr>
            <w:tcW w:w="79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(1,995,012)</w:t>
            </w:r>
          </w:p>
        </w:tc>
        <w:tc>
          <w:tcPr>
            <w:tcW w:w="220" w:type="dxa"/>
            <w:vAlign w:val="bottom"/>
            <w:tcBorders>
              <w:top w:val="single" w:sz="8" w:color="E6EFFF"/>
            </w:tcBorders>
            <w:shd w:val="clear" w:color="auto" w:fill="E6EFFF"/>
          </w:tcPr>
          <w:p>
            <w:pPr>
              <w:spacing w:after="0"/>
              <w:rPr>
                <w:sz w:val="18"/>
                <w:szCs w:val="18"/>
                <w:color w:val="auto"/>
              </w:rPr>
            </w:pPr>
          </w:p>
        </w:tc>
        <w:tc>
          <w:tcPr>
            <w:tcW w:w="540" w:type="dxa"/>
            <w:vAlign w:val="bottom"/>
            <w:tcBorders>
              <w:top w:val="single" w:sz="8" w:color="auto"/>
              <w:bottom w:val="single" w:sz="8" w:color="auto"/>
            </w:tcBorders>
            <w:shd w:val="clear" w:color="auto" w:fill="E6EFFF"/>
          </w:tcPr>
          <w:p>
            <w:pPr>
              <w:spacing w:after="0"/>
              <w:rPr>
                <w:sz w:val="18"/>
                <w:szCs w:val="18"/>
                <w:color w:val="auto"/>
              </w:rPr>
            </w:pPr>
          </w:p>
        </w:tc>
        <w:tc>
          <w:tcPr>
            <w:tcW w:w="9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(1,830,348)</w:t>
            </w:r>
          </w:p>
        </w:tc>
        <w:tc>
          <w:tcPr>
            <w:tcW w:w="220" w:type="dxa"/>
            <w:vAlign w:val="bottom"/>
            <w:tcBorders>
              <w:top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(335,766)</w:t>
            </w: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103,449</w:t>
            </w:r>
          </w:p>
        </w:tc>
        <w:tc>
          <w:tcPr>
            <w:tcW w:w="40" w:type="dxa"/>
            <w:vAlign w:val="bottom"/>
          </w:tcPr>
          <w:p>
            <w:pPr>
              <w:spacing w:after="0"/>
              <w:rPr>
                <w:sz w:val="18"/>
                <w:szCs w:val="18"/>
                <w:color w:val="auto"/>
              </w:rPr>
            </w:pPr>
          </w:p>
        </w:tc>
      </w:tr>
      <w:tr>
        <w:trPr>
          <w:trHeight w:val="209"/>
        </w:trPr>
        <w:tc>
          <w:tcPr>
            <w:tcW w:w="7920" w:type="dxa"/>
            <w:vAlign w:val="bottom"/>
            <w:tcBorders>
              <w:top w:val="single" w:sz="8" w:color="E6EFFF"/>
            </w:tcBorders>
            <w:shd w:val="clear" w:color="auto" w:fill="E6EFFF"/>
          </w:tcPr>
          <w:p>
            <w:pPr>
              <w:spacing w:after="0"/>
              <w:rPr>
                <w:sz w:val="18"/>
                <w:szCs w:val="18"/>
                <w:color w:val="auto"/>
              </w:rPr>
            </w:pPr>
          </w:p>
        </w:tc>
        <w:tc>
          <w:tcPr>
            <w:tcW w:w="144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540" w:type="dxa"/>
            <w:vAlign w:val="bottom"/>
            <w:tcBorders>
              <w:top w:val="single" w:sz="8" w:color="auto"/>
            </w:tcBorders>
            <w:shd w:val="clear" w:color="auto" w:fill="E6EFFF"/>
          </w:tcPr>
          <w:p>
            <w:pPr>
              <w:spacing w:after="0"/>
              <w:rPr>
                <w:sz w:val="18"/>
                <w:szCs w:val="18"/>
                <w:color w:val="auto"/>
              </w:rPr>
            </w:pPr>
          </w:p>
        </w:tc>
        <w:tc>
          <w:tcPr>
            <w:tcW w:w="90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(2,330,778)</w:t>
            </w:r>
          </w:p>
        </w:tc>
        <w:tc>
          <w:tcPr>
            <w:tcW w:w="5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(1,726,899)</w:t>
            </w:r>
          </w:p>
        </w:tc>
        <w:tc>
          <w:tcPr>
            <w:tcW w:w="40" w:type="dxa"/>
            <w:vAlign w:val="bottom"/>
          </w:tcPr>
          <w:p>
            <w:pPr>
              <w:spacing w:after="0"/>
              <w:rPr>
                <w:sz w:val="22"/>
                <w:szCs w:val="22"/>
                <w:color w:val="auto"/>
              </w:rPr>
            </w:pPr>
          </w:p>
        </w:tc>
      </w:tr>
      <w:tr>
        <w:trPr>
          <w:trHeight w:val="196"/>
        </w:trPr>
        <w:tc>
          <w:tcPr>
            <w:tcW w:w="7920" w:type="dxa"/>
            <w:vAlign w:val="bottom"/>
            <w:tcBorders>
              <w:top w:val="single" w:sz="8" w:color="E6EFFF"/>
            </w:tcBorders>
            <w:shd w:val="clear" w:color="auto" w:fill="E6EFFF"/>
          </w:tcPr>
          <w:p>
            <w:pPr>
              <w:spacing w:after="0"/>
              <w:rPr>
                <w:sz w:val="17"/>
                <w:szCs w:val="17"/>
                <w:color w:val="auto"/>
              </w:rPr>
            </w:pPr>
          </w:p>
        </w:tc>
        <w:tc>
          <w:tcPr>
            <w:tcW w:w="144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54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for the year</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(0.36)</w:t>
            </w:r>
          </w:p>
        </w:tc>
        <w:tc>
          <w:tcPr>
            <w:tcW w:w="5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(0.46)</w:t>
            </w: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6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(0.06)</w:t>
            </w:r>
          </w:p>
        </w:tc>
        <w:tc>
          <w:tcPr>
            <w:tcW w:w="54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Net lossper share attributable to Common Stockholders - basic and diluted</w:t>
            </w:r>
          </w:p>
        </w:tc>
        <w:tc>
          <w:tcPr>
            <w:tcW w:w="16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(0.42)</w:t>
            </w:r>
          </w:p>
        </w:tc>
        <w:tc>
          <w:tcPr>
            <w:tcW w:w="54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40" w:type="dxa"/>
            <w:vAlign w:val="bottom"/>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outstanding common shares</w:t>
            </w: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6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5,469,448</w:t>
            </w:r>
          </w:p>
        </w:tc>
        <w:tc>
          <w:tcPr>
            <w:tcW w:w="54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3,954,549</w:t>
            </w:r>
          </w:p>
        </w:tc>
        <w:tc>
          <w:tcPr>
            <w:tcW w:w="40" w:type="dxa"/>
            <w:vAlign w:val="bottom"/>
          </w:tcPr>
          <w:p>
            <w:pPr>
              <w:spacing w:after="0"/>
              <w:rPr>
                <w:sz w:val="18"/>
                <w:szCs w:val="18"/>
                <w:color w:val="auto"/>
              </w:rPr>
            </w:pPr>
          </w:p>
        </w:tc>
      </w:tr>
      <w:tr>
        <w:trPr>
          <w:trHeight w:val="341"/>
        </w:trPr>
        <w:tc>
          <w:tcPr>
            <w:tcW w:w="79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7920" w:type="dxa"/>
            <w:vAlign w:val="bottom"/>
            <w:shd w:val="clear" w:color="auto" w:fill="000000"/>
          </w:tcPr>
          <w:p>
            <w:pPr>
              <w:spacing w:after="0"/>
              <w:rPr>
                <w:sz w:val="6"/>
                <w:szCs w:val="6"/>
                <w:color w:val="auto"/>
              </w:rPr>
            </w:pPr>
          </w:p>
        </w:tc>
        <w:tc>
          <w:tcPr>
            <w:tcW w:w="14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54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InMed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CONDENSEDCONSOLIDATEDSTATEMENTS OFCASHFLOWS (UNAUDITED)</w:t>
      </w:r>
    </w:p>
    <w:p>
      <w:pPr>
        <w:spacing w:after="0"/>
        <w:rPr>
          <w:sz w:val="20"/>
          <w:szCs w:val="20"/>
          <w:color w:val="auto"/>
        </w:rPr>
      </w:pPr>
      <w:r>
        <w:rPr>
          <w:rFonts w:ascii="Times New Roman" w:cs="Times New Roman" w:eastAsia="Times New Roman" w:hAnsi="Times New Roman"/>
          <w:sz w:val="22"/>
          <w:szCs w:val="22"/>
          <w:color w:val="auto"/>
        </w:rPr>
        <w:t>Expressed in U.S.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33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7920" w:type="dxa"/>
            <w:vAlign w:val="bottom"/>
          </w:tcPr>
          <w:p>
            <w:pPr>
              <w:spacing w:after="0"/>
              <w:rPr>
                <w:sz w:val="20"/>
                <w:szCs w:val="20"/>
                <w:color w:val="auto"/>
              </w:rPr>
            </w:pPr>
          </w:p>
        </w:tc>
        <w:tc>
          <w:tcPr>
            <w:tcW w:w="33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10"/>
        </w:trPr>
        <w:tc>
          <w:tcPr>
            <w:tcW w:w="79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(2,330,778)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(1,726,899)</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Itemsnot requiring cash:</w:t>
            </w: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53,202</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16,375</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20,205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220,869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103,478</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Interest income received on short-term</w:t>
            </w:r>
          </w:p>
        </w:tc>
        <w:tc>
          <w:tcPr>
            <w:tcW w:w="1580" w:type="dxa"/>
            <w:vAlign w:val="bottom"/>
            <w:gridSpan w:val="2"/>
            <w:shd w:val="clear" w:color="auto" w:fill="E6EF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(661)</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Changesin operating assetsand liabilities:</w:t>
            </w: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Prepaidsand other currentsassets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131,875</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89,901</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Accountspayable and accrued liabilities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650,577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(389,881)</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(107,412)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 used by discontinued operations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(17,254)</w:t>
            </w:r>
          </w:p>
        </w:tc>
      </w:tr>
      <w:tr>
        <w:trPr>
          <w:trHeight w:val="209"/>
        </w:trPr>
        <w:tc>
          <w:tcPr>
            <w:tcW w:w="79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 cash used in operating activities</w:t>
            </w: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(1,142,342)</w:t>
            </w: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3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(1,930,803)</w:t>
            </w:r>
          </w:p>
        </w:tc>
        <w:tc>
          <w:tcPr>
            <w:tcW w:w="220" w:type="dxa"/>
            <w:vAlign w:val="bottom"/>
            <w:tcBorders>
              <w:top w:val="single" w:sz="8" w:color="E6EFFF"/>
            </w:tcBorders>
            <w:shd w:val="clear" w:color="auto" w:fill="E6EFFF"/>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Sale of held for sale equipment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Sale of short-term investments</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20,957</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(20,957)</w:t>
            </w:r>
          </w:p>
        </w:tc>
      </w:tr>
      <w:tr>
        <w:trPr>
          <w:trHeight w:val="209"/>
        </w:trPr>
        <w:tc>
          <w:tcPr>
            <w:tcW w:w="79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investing activities</w:t>
            </w:r>
          </w:p>
        </w:tc>
        <w:tc>
          <w:tcPr>
            <w:tcW w:w="14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2,417</w:t>
            </w: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3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6EFFF"/>
            </w:tcBorders>
            <w:shd w:val="clear" w:color="auto" w:fill="E6EFFF"/>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Proceedsfrom the exercise of warrants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(137,178)</w:t>
            </w:r>
          </w:p>
        </w:tc>
      </w:tr>
      <w:tr>
        <w:trPr>
          <w:trHeight w:val="210"/>
        </w:trPr>
        <w:tc>
          <w:tcPr>
            <w:tcW w:w="7920" w:type="dxa"/>
            <w:vAlign w:val="bottom"/>
            <w:tcBorders>
              <w:bottom w:val="single" w:sz="8" w:color="E6EF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 financing activities</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40,000</w:t>
            </w:r>
          </w:p>
        </w:tc>
        <w:tc>
          <w:tcPr>
            <w:tcW w:w="140" w:type="dxa"/>
            <w:vAlign w:val="bottom"/>
            <w:tcBorders>
              <w:bottom w:val="single" w:sz="8" w:color="E6EFFF"/>
            </w:tcBorders>
          </w:tcPr>
          <w:p>
            <w:pPr>
              <w:spacing w:after="0"/>
              <w:rPr>
                <w:sz w:val="18"/>
                <w:szCs w:val="18"/>
                <w:color w:val="auto"/>
              </w:rPr>
            </w:pPr>
          </w:p>
        </w:tc>
        <w:tc>
          <w:tcPr>
            <w:tcW w:w="80" w:type="dxa"/>
            <w:vAlign w:val="bottom"/>
            <w:tcBorders>
              <w:bottom w:val="single" w:sz="8" w:color="E6EFFF"/>
            </w:tcBorders>
          </w:tcPr>
          <w:p>
            <w:pPr>
              <w:spacing w:after="0"/>
              <w:rPr>
                <w:sz w:val="18"/>
                <w:szCs w:val="18"/>
                <w:color w:val="auto"/>
              </w:rPr>
            </w:pPr>
          </w:p>
        </w:tc>
        <w:tc>
          <w:tcPr>
            <w:tcW w:w="100" w:type="dxa"/>
            <w:vAlign w:val="bottom"/>
            <w:tcBorders>
              <w:bottom w:val="single" w:sz="8" w:color="E6EF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(137,178)</w:t>
            </w:r>
          </w:p>
        </w:tc>
        <w:tc>
          <w:tcPr>
            <w:tcW w:w="220" w:type="dxa"/>
            <w:vAlign w:val="bottom"/>
            <w:tcBorders>
              <w:bottom w:val="single" w:sz="8" w:color="E6EFFF"/>
            </w:tcBorders>
          </w:tcPr>
          <w:p>
            <w:pPr>
              <w:spacing w:after="0"/>
              <w:rPr>
                <w:sz w:val="18"/>
                <w:szCs w:val="18"/>
                <w:color w:val="auto"/>
              </w:rPr>
            </w:pPr>
          </w:p>
        </w:tc>
      </w:tr>
      <w:tr>
        <w:trPr>
          <w:trHeight w:val="210"/>
        </w:trPr>
        <w:tc>
          <w:tcPr>
            <w:tcW w:w="792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 during the period</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(1,099,925)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(2,067,981)</w:t>
            </w: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the period</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2,194,413</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10,743,430</w:t>
            </w:r>
          </w:p>
        </w:tc>
      </w:tr>
      <w:tr>
        <w:trPr>
          <w:trHeight w:val="250"/>
        </w:trPr>
        <w:tc>
          <w:tcPr>
            <w:tcW w:w="7920" w:type="dxa"/>
            <w:vAlign w:val="bottom"/>
            <w:tcBorders>
              <w:bottom w:val="single" w:sz="8" w:color="E6EF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period</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1,094,488</w:t>
            </w:r>
          </w:p>
        </w:tc>
        <w:tc>
          <w:tcPr>
            <w:tcW w:w="140" w:type="dxa"/>
            <w:vAlign w:val="bottom"/>
            <w:tcBorders>
              <w:bottom w:val="single" w:sz="8" w:color="E6EFFF"/>
            </w:tcBorders>
          </w:tcPr>
          <w:p>
            <w:pPr>
              <w:spacing w:after="0"/>
              <w:rPr>
                <w:sz w:val="21"/>
                <w:szCs w:val="21"/>
                <w:color w:val="auto"/>
              </w:rPr>
            </w:pPr>
          </w:p>
        </w:tc>
        <w:tc>
          <w:tcPr>
            <w:tcW w:w="80" w:type="dxa"/>
            <w:vAlign w:val="bottom"/>
            <w:tcBorders>
              <w:bottom w:val="single" w:sz="8" w:color="E6E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8,675,449</w:t>
            </w:r>
          </w:p>
        </w:tc>
        <w:tc>
          <w:tcPr>
            <w:tcW w:w="220" w:type="dxa"/>
            <w:vAlign w:val="bottom"/>
            <w:tcBorders>
              <w:bottom w:val="single" w:sz="8" w:color="E6EFFF"/>
            </w:tcBorders>
          </w:tcPr>
          <w:p>
            <w:pPr>
              <w:spacing w:after="0"/>
              <w:rPr>
                <w:sz w:val="21"/>
                <w:szCs w:val="21"/>
                <w:color w:val="auto"/>
              </w:rPr>
            </w:pPr>
          </w:p>
        </w:tc>
      </w:tr>
      <w:tr>
        <w:trPr>
          <w:trHeight w:val="197"/>
        </w:trPr>
        <w:tc>
          <w:tcPr>
            <w:tcW w:w="7920" w:type="dxa"/>
            <w:vAlign w:val="bottom"/>
            <w:shd w:val="clear" w:color="auto" w:fill="E6EFFF"/>
          </w:tcPr>
          <w:p>
            <w:pPr>
              <w:spacing w:after="0"/>
              <w:rPr>
                <w:sz w:val="17"/>
                <w:szCs w:val="17"/>
                <w:color w:val="auto"/>
              </w:rPr>
            </w:pPr>
          </w:p>
        </w:tc>
        <w:tc>
          <w:tcPr>
            <w:tcW w:w="144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3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9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5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5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E6EFFF"/>
            </w:tcBorders>
            <w:shd w:val="clear" w:color="auto" w:fill="E6EFFF"/>
          </w:tcPr>
          <w:p>
            <w:pPr>
              <w:spacing w:after="0"/>
              <w:rPr>
                <w:sz w:val="18"/>
                <w:szCs w:val="18"/>
                <w:color w:val="auto"/>
              </w:rPr>
            </w:pPr>
          </w:p>
        </w:tc>
        <w:tc>
          <w:tcPr>
            <w:tcW w:w="180" w:type="dxa"/>
            <w:vAlign w:val="bottom"/>
            <w:tcBorders>
              <w:top w:val="single" w:sz="8" w:color="E6EFFF"/>
            </w:tcBorders>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6EFFF"/>
            </w:tcBorders>
            <w:shd w:val="clear" w:color="auto" w:fill="E6EFFF"/>
          </w:tcPr>
          <w:p>
            <w:pPr>
              <w:spacing w:after="0"/>
              <w:rPr>
                <w:sz w:val="18"/>
                <w:szCs w:val="18"/>
                <w:color w:val="auto"/>
              </w:rPr>
            </w:pPr>
          </w:p>
        </w:tc>
      </w:tr>
      <w:tr>
        <w:trPr>
          <w:trHeight w:val="20"/>
        </w:trPr>
        <w:tc>
          <w:tcPr>
            <w:tcW w:w="7920" w:type="dxa"/>
            <w:vAlign w:val="bottom"/>
            <w:tcBorders>
              <w:top w:val="single" w:sz="8" w:color="E6E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InMed</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InMed Pharmaceuticals is a pharmaceutical company focused on developing a pipeline of proprietary small molecule drug candidates targeting the CB1/CB2 receptors. InMed's pipeline consists of three separate programs in the treatment of Alzheimer's, ocular and dermatological indications. For more information, visit </w:t>
      </w:r>
      <w:r>
        <w:rPr>
          <w:rFonts w:ascii="Times New Roman" w:cs="Times New Roman" w:eastAsia="Times New Roman" w:hAnsi="Times New Roman"/>
          <w:sz w:val="22"/>
          <w:szCs w:val="22"/>
          <w:u w:val="single" w:color="auto"/>
          <w:color w:val="0000EE"/>
        </w:rPr>
        <w:t>www.inmedpharma.com</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Colin Clancy</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and Corporate Communications</w:t>
      </w:r>
    </w:p>
    <w:p>
      <w:pPr>
        <w:spacing w:after="0" w:line="230" w:lineRule="auto"/>
        <w:rPr>
          <w:sz w:val="20"/>
          <w:szCs w:val="20"/>
          <w:color w:val="auto"/>
        </w:rPr>
      </w:pPr>
      <w:r>
        <w:rPr>
          <w:rFonts w:ascii="Times New Roman" w:cs="Times New Roman" w:eastAsia="Times New Roman" w:hAnsi="Times New Roman"/>
          <w:sz w:val="22"/>
          <w:szCs w:val="22"/>
          <w:color w:val="auto"/>
        </w:rPr>
        <w:t>T: +1.604.416.0999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 ir@inmedpharma.com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news release contains "forward-looking information" and "forward-looking statements" (collectively, "forward-looking information") within the meaning of applicable securities laws. Forward-looking information is based on management's current expectations and beliefs and is subject to a number of risks and uncertainties that could cause actual results to differ materially from those described in the forward-looking statements. Without limiting the foregoing, forward-looking information in this news release includes, but is not limited to, statements regarding the proposed merger with Mentari, including the anticipated timing and completion of the merger and other contemplated transactions; the expected aggregate proceeds from the pre-closing financing; the anticipated outcome of Nasdaq's review of the Company's compliance plan and the Company's ability to regain compliance with Nasdaq's minimum shareholders' equity requirement, including through completion of the proposed merger with Mentari and the associated pre-closing financing; the expected cash runway of the company; the potential future monetization of INM-901,INM-089 and INM-755; the Company's efforts to identify strategic opportunities for INM-901, INM-089 and INM-755 and the expected nature, focus and operations of the company following the merger.</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 respect to the forward-looking information contained in this news release, InMed has made numerous assumptions regarding, among other things: the ability to obtain all necessary regulatory approvals on a timely basis, or at all; the satisfaction or waiver of the conditions to the completion of the proposed merger with Mentari, including the receipt of required shareholder and stockholder approvals; and continued economic and market stability. While InMed considers these assumptions to be reasonable, these assumptions are inherently subject to significant business, economic, competitive, market and social uncertainties and contingencies.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Additionally, there are known and unknown risk factors that could cause InMed's actual results, performance or achievements to be materially different from any future results, performance or achievements expressed or implied by the forward-looking information contained herein. A complete discussion of the risks and uncertainties facing InMed's stand-alone business is disclosed in InMed's Annual Report on Form 10-K, as may be updated from time to time by InMed's Quarterly Reports on Form 10-Q and other filings with the Securities and Exchange Commission available at </w:t>
      </w:r>
      <w:r>
        <w:rPr>
          <w:rFonts w:ascii="Times New Roman" w:cs="Times New Roman" w:eastAsia="Times New Roman" w:hAnsi="Times New Roman"/>
          <w:sz w:val="22"/>
          <w:szCs w:val="22"/>
          <w:u w:val="single" w:color="auto"/>
          <w:color w:val="0000EE"/>
        </w:rPr>
        <w:t>www.sec.gov</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All forward-looking information herein is qualified in its entirety by this cautionary statement, and InMed disclaims any obligation to revise or update any such forward-looking information or to publicly announce the result of any revisions to any of the forward-looking information contained herein to reflect future results, events or developments, except as required by law.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This communication is for informational purposes only and does not constitute an offer to sell, or the solicitation of an offer to buy, any securities, or the solicitation of any vote or approval, nor shall there be any sale of securities in any jurisdiction in which such offer, solicitation or sale would be unlawful prior to registration or qualification under the securities laws of any such jurisdiction. Without limiting the foregoing, this communication does not constitute an offer to sell, or the solicitation of an offer to buy, any securities in connection with any private placement or other financing by Mentari or InMed. Any such securities have not been and will not be registered under the Securities Act or any state securities laws and may not be offered or sold in the United States absent registration or an applicable exemption from registration. No offering of securities shall be made except by means of a prospectus meeting the requirements of Section 10 of the Securities Act or an applicable exemption therefrom.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About the Merger and Where to Find It</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 connection with the proposed merger, InMed has filed with the SEC a registration statement on Form S-4 that includes a preliminary proxy statement/prospectus of InMed and a management information circular and will file other relevant documents with the SEC and applicable Canadian securities regulators. The Form S-4 has not yet become effective. After the Form S-4 is declared effective, InMed will mail a definitive proxy statement/prospectus and management information circular to its shareholders and to Mentari's stockholders. INVESTORS AND SECURITYHOLDERS OF INMED AND MENTARI ARE URGED TO READ THE FORM S-4, THE PROXY STATEMENT/PROSPECTUS AND MANAGEMENT INFORMATION CIRCULAR (INCLUDING ALL AMENDMENTS AND SUPPLEMENTS) AND ALL OTHER RELEVANT DOCUMENTS FILED OR TO BE FILED WITH THE SEC AND CANADIAN SECURITIES REGULATORS, CAREFULLY AND IN THEIR ENTIRETY WHEN THEY BECOME AVAILABLE, BECAUSE THEY CONTAIN OR WILL CONTAIN IMPORTANT INFORMATION ABOUT INMED, MENTARI, THE MERGER AND RELATED MATTERS. Investors and securityholders may obtain free copies of these documents (when available) through the SEC's website at </w:t>
      </w:r>
      <w:r>
        <w:rPr>
          <w:rFonts w:ascii="Times New Roman" w:cs="Times New Roman" w:eastAsia="Times New Roman" w:hAnsi="Times New Roman"/>
          <w:sz w:val="22"/>
          <w:szCs w:val="22"/>
          <w:b w:val="1"/>
          <w:bCs w:val="1"/>
          <w:u w:val="single" w:color="auto"/>
          <w:color w:val="0000EE"/>
        </w:rPr>
        <w:t>www.sec.gov</w:t>
      </w:r>
      <w:r>
        <w:rPr>
          <w:rFonts w:ascii="Times New Roman" w:cs="Times New Roman" w:eastAsia="Times New Roman" w:hAnsi="Times New Roman"/>
          <w:sz w:val="22"/>
          <w:szCs w:val="22"/>
          <w:color w:val="auto"/>
        </w:rPr>
        <w:t xml:space="preserve">, on SEDAR+ at </w:t>
      </w:r>
      <w:r>
        <w:rPr>
          <w:rFonts w:ascii="Times New Roman" w:cs="Times New Roman" w:eastAsia="Times New Roman" w:hAnsi="Times New Roman"/>
          <w:sz w:val="22"/>
          <w:szCs w:val="22"/>
          <w:b w:val="1"/>
          <w:bCs w:val="1"/>
          <w:u w:val="single" w:color="auto"/>
          <w:color w:val="0000EE"/>
        </w:rPr>
        <w:t>www.sedarplus.ca</w:t>
      </w:r>
      <w:r>
        <w:rPr>
          <w:rFonts w:ascii="Times New Roman" w:cs="Times New Roman" w:eastAsia="Times New Roman" w:hAnsi="Times New Roman"/>
          <w:sz w:val="22"/>
          <w:szCs w:val="22"/>
          <w:color w:val="000000"/>
        </w:rPr>
        <w:t>, or from InMed at</w:t>
      </w:r>
      <w:r>
        <w:rPr>
          <w:rFonts w:ascii="Times New Roman" w:cs="Times New Roman" w:eastAsia="Times New Roman" w:hAnsi="Times New Roman"/>
          <w:sz w:val="22"/>
          <w:szCs w:val="22"/>
          <w:b w:val="1"/>
          <w:bCs w:val="1"/>
          <w:color w:val="0000EE"/>
        </w:rPr>
        <w:t xml:space="preserve"> </w:t>
      </w:r>
      <w:r>
        <w:rPr>
          <w:rFonts w:ascii="Times New Roman" w:cs="Times New Roman" w:eastAsia="Times New Roman" w:hAnsi="Times New Roman"/>
          <w:sz w:val="22"/>
          <w:szCs w:val="22"/>
          <w:b w:val="1"/>
          <w:bCs w:val="1"/>
          <w:u w:val="single" w:color="auto"/>
          <w:color w:val="0000EE"/>
        </w:rPr>
        <w:t>inmedpharma.com/investors</w:t>
      </w:r>
      <w:r>
        <w:rPr>
          <w:rFonts w:ascii="Times New Roman" w:cs="Times New Roman" w:eastAsia="Times New Roman" w:hAnsi="Times New Roman"/>
          <w:sz w:val="22"/>
          <w:szCs w:val="22"/>
          <w:b w:val="1"/>
          <w:bCs w:val="1"/>
          <w:color w:val="000000"/>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Participants in the Solicitation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InMed, Mentari and their respective directors and executive officers may be deemed to be participants in the solicitation of proxies from InMed's shareholders and Mentari's stockholders in connection with the proposed merger. Information regarding InMed's directors and executive officers and a description of their direct and indirect interests, by security holdings or otherwise, is set forth in InMed's most recent annual report on Form 10-K and its other filings with the SEC and on SEDAR+. Additional information regarding the participants and their interests is or will be contained in the proxy statement/prospectus and management information circular and other relevant materials filed or to be filed with the SEC and Canadian securities regulators. These documents may be obtained free of charge as described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view the source version of this press release, please visit </w:t>
      </w:r>
      <w:r>
        <w:rPr>
          <w:rFonts w:ascii="Times New Roman" w:cs="Times New Roman" w:eastAsia="Times New Roman" w:hAnsi="Times New Roman"/>
          <w:sz w:val="22"/>
          <w:szCs w:val="22"/>
          <w:u w:val="single" w:color="auto"/>
          <w:color w:val="0000EE"/>
        </w:rPr>
        <w:t>https://www.newsfilecorp.com/release/322203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31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2026-11-03T16:01:31Z</dcterms:created>
  <dcterms:modified xsi:type="dcterms:W3CDTF">2026-11-03T16:01:31Z</dcterms:modified>
</cp:coreProperties>
</file>