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MENTARI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98-1428279</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 Norton Rose Fulbright Canada LLP</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Suite 1800 - 510 West Georgia Street</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Vancouver, British Columbia, Canada V6B 0M3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(604) 669-7207</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on May 19, 2026 by Mentari Therapeutics, Inc., formerly known as InMed Pharmaceuticals Inc. (the “Company”), the Company and Mentari Therapeutics, Inc., a Delaware corporation (“Mentari”), entered into an Agreement and Plan of Merger and Reorganization on May 19, 2026, which agreement was subsequently amended on July 6, 2026 (as amended, the “Merger Agreement”), pursuant to which, among other matters, and subject to the satisfaction or waiver of the conditions set forth in the Merger Agreement, the Company will redomesticate from British Columbia, Canada to the State of Nevada by continuation out of British Columbia (under the laws of British Columbia) and domestication (under the laws of Nevada) (the “Redomestication”), Indigo Merger Sub Corp., a Delaware corporation (“First Merger Sub”), will merge with and into Mentari, with Mentari continuing as a wholly owned subsidiary of the Company and the surviving corporation of the merger (the “First Merger”), and Mentari will merge with and into Indigo Merger Sub II, LLC, a Delaware limited liability company (“Second Merger Sub” and together with First Merger Sub, “Merger Subs”), with Second Merger Sub being the surviving entity of the merger (the “Second Merger” and, together with the First Merger, the “Merger”). As contemplated by the Merger Agreement, prior to the expected closing date of the Merger (the “Closing Date”), and prior to the Redomestication, the Company legally changed its name to “Mentari Therapeutics, Inc.” effective November 4, 2026, as described in Item 5.03 of this Current Report. After the completion of the Merger, Second Merger Sub will change its corporate name to “Mentari Therapeutics Operating Company LLC.” The term “Combined Company” when used herein refers to the post-Merger corporate structure including the Company as the parent entity organized in Nevada and Mentari Therapeutics Operating Company LLC as its wholly owned subsidiary.</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Merger, the Board of Directors of the Company (the “Board”), without a separate vote of the Company’s shareholders as permitted under the Company’s notice of articles and articles, on October 23, 2026 approved a change of the Company’s corporate name to “Mentari Therapeutics, Inc.” and approved a consolidation of the Company’s common shares (the “Common Shares”) on a one (1)-for-ten (10) basis (the “Consolidation”). In addition, on November 4, 2026, following the Company’s annual general and special meeting of shareholders held on November 4, 2026 (the “Shareholders Meeting”), the Board approved the creation of a new series of non-voting convertible preferred shares of the Company, and the Company altered its notice of articles and amended the Articles (as defined below) in order to create such series.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4, following the Shareholders Meeting, 2026, the Company filed a notice of alteration (the “Notice of Alteration”) with the Province of British Columbia Registrar of Companies to change the name of the Company from “InMed Pharmaceuticals Inc.” to “Mentari Therapeutics, Inc.,” effective as of November 4, 2026 (the “Name Change”). A copy of the Notice of Alteration is attached as Exhibit 3.1 hereto and is incorporated by reference herein. In connection with the Name Change, the Board amended the articles of Mentari Therapeutics, Inc., formerly the articles of InMed Pharmaceuticals Inc. (as amended, the “Articles”), to reflect the corporate name “Mentari Therapeutics, Inc.,” effective as of November 4, 2026. A copy of the Company’s amended Articles reflecting the Name Change is attached as Exhibit 3.2 hereto and incorporated by reference herein.</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The Notice of Alteration also effected the Consolidation. As of the effective time of the Consolidation, every ten (10) Common Shares issued and outstanding immediately prior to the Consolidation were automatically consolidated into one (1) issued and outstanding Common Share, without any change in shareholders’ proportionate equity or voting interests in the Company, other than as a result of the treatment of fractional shares described below. Per the requirements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“BCBCA”), under which the Company was regulated at the time of the Consolidation, if, as a result of the Consolidation, a shareholder became entitled to a fractional share, such fractional share was rounded up to the nearest whole number if 0.5 or greater and down to the nearest whole number if less than 0.5, and no cash or other consideration was paid in respect of rounding. Effective at the commencement of trading on November 5, 2026, the Common Shares are expected to begin trading on The Nasdaq Capital Market (“Nasdaq”) on a post-Consolidation basis under the Company’s existing symbol “INM”, with a new CUSIP number of 457637809 and a new ISIN number of CA4576378091. In addition, as a result of the Consolidation, proportionate adjustments were made to the per share exercise price and the number of Common Shares issuable upon the exercise of all outstanding stock options and warrants of the Company, and the number of Common Shares reserved for issuance under the Company’s existing equity incentive plan was reduced proportionately.</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Notice of Alteration also effected the designation of 4,013 of the Company’s authorized but undesignated preferred shares as Series A Non-Voting Preferred Shares (the “Series A Preferred Shares”), effective as of November 4, 2026. Except as otherwise required by the Articles or applicable law, the Series A Preferred Shares do not have voting rights, other than the right of holders of Series A Preferred Shares, voting together as a separate class on an as-converted basis, to elect two directors to the Board for so long as at least 30% of the originally issued Series A Preferred Shares remain outstanding. Each Series A Preferred Share is convertible, at the option of the holder, into 1,000 Common Shares, subject to a limitation that initially prohibits a holder, together with its affiliates, from converting Series A Preferred Shares to the extent such conversion would result in the holder beneficially owning more than 19.99% of the Company’s then-outstanding Common Shares. For so long as at least 30% of the originally issued Series A Preferred Shares remain outstanding, the Company may not, without the affirmative vote of the holders of a majority of the then-outstanding Series A Preferred Shares, take certain actions, including altering the rights of the Series A Preferred Shares, amending the Articles in a manner adverse to the Series A Preferred Shares, issuing additional Series A Preferred Shares, increasing the size of the Board, or consummating certain fundamental or change-of-control transactions.</w:t>
      </w:r>
    </w:p>
    <w:p>
      <w:pPr>
        <w:sectPr>
          <w:pgSz w:w="11900" w:h="16838" w:orient="portrait"/>
          <w:cols w:equalWidth="0" w:num="1">
            <w:col w:w="11000"/>
          </w:cols>
          <w:pgMar w:left="440" w:top="293" w:right="459" w:bottom="1440" w:gutter="0" w:footer="0" w:header="0"/>
        </w:sectPr>
      </w:pPr>
    </w:p>
    <w:bookmarkStart w:id="2" w:name="page3"/>
    <w:bookmarkEnd w:id="2"/>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descriptions of the Notice of Alteration and the Articles, as amended, do not purport to be complete and are subject to, and qualified in their entirety by reference to, the full text of such documents, copies of which are attached hereto as Exhibits 3.1 and 3.2, respectively,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November 4, 2026, the Company held its Shareholders Meeting, at which the proposals set forth below, relating to the Merger Agreement and other matters, were submitted to the Company’s shareholders. The proposals are described in detail in the Company’s proxy statement/prospectus, dated October 1, 2026 and included as part of the Company’s registration statement on Form S-4 (File No. 333-297234) (the “Proxy Statement”). There were 5,493,735 Common Shares outstanding and entitled to vote on September 25, 2026, the record date for the Shareholders Meeting, and 3,630,088 Common Shares were represented in person or by proxy at the Shareholders Meeting, which number constituted a quorum. The final voting results regarding each proposal voted upon by the Company’s shareholders (as applicable) are set forth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1-Nasdaq Share Issuance Proposal</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shareholders approved (i) the issuance of the Common Shares, including the Common Shares issuable upon conversion of the Series A Preferred Shares, which will represent more than 20% of the Common Shares outstanding immediately prior to the First Merger, to stockholders of Mentari pursuant to the Merger Agreement, and (ii) the change of control of the Company resulting from the First Merger, pursuant to Nasdaq Listing Rules 5635(a) and 5635(b),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Abstained</w:t>
            </w:r>
          </w:p>
        </w:tc>
      </w:tr>
      <w:tr>
        <w:trPr>
          <w:trHeight w:val="210"/>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2,615,030</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97.295%</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13,420</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0.499%</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59,288</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2.206%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2-Return of Capital Proposal</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Company’s shareholders approved, via special resolution, one or more reductions of the capital of the Company in respect of the Common Shares (and, in the case of an InMed Legacy Transaction Distribution (as defined in the section titled “The Merger Agreement — InMed Legacy Transaction” beginning on page 213 of the Proxy Statement), the InMed Preferred Shares (as defined in the section titled “Description of InMed Shares — Authorized Share Structure” beginning on page 450 of the Proxy Statement), if applicable) in connection with the distributions to the Company’s shareholders contemplated by the Merger Agreement.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Abstained</w:t>
            </w:r>
          </w:p>
        </w:tc>
      </w:tr>
      <w:tr>
        <w:trPr>
          <w:trHeight w:val="210"/>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2,615,290</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97.304%</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13,090</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0.487%</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59,358</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2.208%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3-Redomestication Proposal</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via special resolution, the redomestication of the Company from British Columbia, Canada to the State of Nevada by continuation out of British Columbia under British Columbia law and domestication under Nevada law.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Abstained</w:t>
            </w:r>
          </w:p>
        </w:tc>
      </w:tr>
      <w:tr>
        <w:trPr>
          <w:trHeight w:val="210"/>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2,387,379</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88.825%</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240,296</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60,063</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2.235%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4-Stock Plan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approved the Mentari Therapeutics, Inc. 2026 Stock Incentive Plan (included in Annex Q to the Proxy Statement).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Abstained</w:t>
            </w:r>
          </w:p>
        </w:tc>
      </w:tr>
      <w:tr>
        <w:trPr>
          <w:trHeight w:val="210"/>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2,381,747</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88.615%</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245,657</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60,334</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2.245%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5-ESPP Proposal</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the Mentari Therapeutics, Inc. 2026 Employee Stock Purchase Plan (included in Annex R to the Proxy Statement).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Abstained</w:t>
            </w:r>
          </w:p>
        </w:tc>
      </w:tr>
      <w:tr>
        <w:trPr>
          <w:trHeight w:val="209"/>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2,607,257</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97.006%</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21,352</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0.794%</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59,129</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2.200%</w:t>
            </w:r>
          </w:p>
        </w:tc>
      </w:tr>
    </w:tbl>
    <w:p>
      <w:pPr>
        <w:sectPr>
          <w:pgSz w:w="11900" w:h="16838" w:orient="portrait"/>
          <w:cols w:equalWidth="0" w:num="1">
            <w:col w:w="11020"/>
          </w:cols>
          <w:pgMar w:left="440" w:top="29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6-Merger Compensation Proposal</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on an advisory basis, certain compensation arrangements for the Company’s named executive officers that are based on or otherwise relate to the Merger.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Votes Against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Abstained</w:t>
            </w:r>
          </w:p>
        </w:tc>
      </w:tr>
      <w:tr>
        <w:trPr>
          <w:trHeight w:val="209"/>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2,605,280</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96.932%</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22,311</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0.830%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60,147</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2.238%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7-Financial Statements Proposal</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shareholders received the audited consolidated financial statements of the Company, together with the auditor’s report thereon, for the fiscal year ended June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8-Director Election Proposal</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shareholders elected five director nominees to the Board to hold office until the next annual meeting of shareholders or until their respective successors are duly elected or appointed, unless such office is earlier vacated or such director becomes disqualified; provided that if the Merger is consummated, the composition of the Board will be reconstituted upon completion of the Merger, in accordance with the Merger Agreement. Results of the vote for the election of the director nominees to the Board at the Shareholders Meeting are set out as follows:</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6000" w:type="dxa"/>
            <w:vAlign w:val="bottom"/>
            <w:vMerge w:val="restart"/>
          </w:tcPr>
          <w:p>
            <w:pPr>
              <w:spacing w:after="0"/>
              <w:rPr>
                <w:sz w:val="15"/>
                <w:szCs w:val="15"/>
                <w:color w:val="auto"/>
              </w:rPr>
            </w:pPr>
          </w:p>
        </w:tc>
        <w:tc>
          <w:tcPr>
            <w:tcW w:w="20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6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Withheld Votes</w:t>
            </w:r>
          </w:p>
        </w:tc>
        <w:tc>
          <w:tcPr>
            <w:tcW w:w="0" w:type="dxa"/>
            <w:vAlign w:val="bottom"/>
          </w:tcPr>
          <w:p>
            <w:pPr>
              <w:spacing w:after="0"/>
              <w:rPr>
                <w:sz w:val="1"/>
                <w:szCs w:val="1"/>
                <w:color w:val="auto"/>
              </w:rPr>
            </w:pPr>
          </w:p>
        </w:tc>
      </w:tr>
      <w:tr>
        <w:trPr>
          <w:trHeight w:val="162"/>
        </w:trPr>
        <w:tc>
          <w:tcPr>
            <w:tcW w:w="520" w:type="dxa"/>
            <w:vAlign w:val="bottom"/>
            <w:tcBorders>
              <w:bottom w:val="single" w:sz="8" w:color="auto"/>
            </w:tcBorders>
            <w:vMerge w:val="continue"/>
          </w:tcPr>
          <w:p>
            <w:pPr>
              <w:spacing w:after="0"/>
              <w:rPr>
                <w:sz w:val="14"/>
                <w:szCs w:val="14"/>
                <w:color w:val="auto"/>
              </w:rPr>
            </w:pPr>
          </w:p>
        </w:tc>
        <w:tc>
          <w:tcPr>
            <w:tcW w:w="6000" w:type="dxa"/>
            <w:vAlign w:val="bottom"/>
            <w:vMerge w:val="continue"/>
          </w:tcPr>
          <w:p>
            <w:pPr>
              <w:spacing w:after="0"/>
              <w:rPr>
                <w:sz w:val="14"/>
                <w:szCs w:val="14"/>
                <w:color w:val="auto"/>
              </w:rPr>
            </w:pPr>
          </w:p>
        </w:tc>
        <w:tc>
          <w:tcPr>
            <w:tcW w:w="104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Pr>
          <w:p>
            <w:pPr>
              <w:spacing w:after="0"/>
              <w:rPr>
                <w:sz w:val="14"/>
                <w:szCs w:val="14"/>
                <w:color w:val="auto"/>
              </w:rPr>
            </w:pP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Andrew Hull</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2,613,186</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97.226%</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74,552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Lemerond</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2,399,806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89.287%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287,932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Klompas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2,616,039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97.332%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71,699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Bathery</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2,616,259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97.341%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A. Adams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2,613,397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97.234%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74,341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9-Auditor Proposal</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shareholders approved the re-appointment of CBIZ CPAs P.C. as the auditor/independent registered public accounting firm of the Company for the ensuing year and the authorization of the directors to fix the remuneration to be paid to the auditors, provided that Ernst &amp; Young, LLP is expected to be appointed for such year if the Merger is consummated.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Votes Withheld</w:t>
            </w:r>
          </w:p>
        </w:tc>
      </w:tr>
      <w:tr>
        <w:trPr>
          <w:trHeight w:val="210"/>
        </w:trPr>
        <w:tc>
          <w:tcPr>
            <w:tcW w:w="262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3,482,806</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95.943%</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147,282</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4.057%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10-Adjournment Proposal</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Shareholders Meeting, the Company also solicited proxies with respect to a proposal to adjourn the Shareholders Meeting, if necessary, to solicit additional proxies if there is not a sufficient number of votes in favor of Proposal No. 1—Nasdaq Share Issuance Proposal. As there were sufficient votes to approve Proposal No. 1—Nasdaq Share Issuance Proposal, an adjournment of the Shareholders Meeting was determined not to be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November 4, 2026, the Company issued a press release announcing the results of its Shareholders Meeting, the Name Change and the completion of the Consolidation. The completion of the Consolidation resulted in the Common Shares being reduced from 5,493,735 to approximately 549,374 Common Shares on a non-diluted basis, and each shareholder holds the same percentage of Common Shares outstanding immediately after the Consolidation as such shareholder held immediately prior to the Consolidation. A copy of the press release is attached hereto as Exhibit 99.1 and is incorporated by reference herein. The press release contains forward-looking statements and includes cautionary statements identifying important factors that could cause actual results to differ materially from those in the forward-looking statements.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Consolidation, and as described in greater detail in Item 5.03 of this Current Report, the Company’s Name Change became legally effective as of November 4, 2026, in connection with the expected closing of the Merger. The information set forth in Item 5.03 is hereby incorporated into this Item 8.01 by reference.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pursuant to a contingent value rights agreement to be entered into on or prior to the Closing Date (the “CVR Agreement”), the Company expects to issue to shareholders of record as of the close of business on November 5, 2026 (the “CVR Distribution Record Date”) one contingent value right (each, a “CVR”) for each outstanding Common Share held by such shareholder as of the CVR Distribution Record Date on a post-Consolidation basis, with each CVR representing the right to receive contingent payments upon the occurrence of certain events set forth in, and subject to and in accordance with the terms of, the CVR Agreement. Investors who purchase Common Shares on Thursday, November 5, 2026 are not expected to be holders of record as of the CVR Distribution Record Date. Common Shares to be issued in connection with the surrender of outstanding in-the-money stock options of the Company, as contemplated in connection with the Merger, will not entail any corresponding CVR entitlement.</w:t>
      </w:r>
    </w:p>
    <w:p>
      <w:pPr>
        <w:sectPr>
          <w:pgSz w:w="11900" w:h="16838" w:orient="portrait"/>
          <w:cols w:equalWidth="0" w:num="1">
            <w:col w:w="11020"/>
          </w:cols>
          <w:pgMar w:left="440" w:top="293"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Note Regarding Forward-Looking Information:</w:t>
      </w:r>
    </w:p>
    <w:p>
      <w:pPr>
        <w:spacing w:after="0" w:line="12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This Current Report on Form 8-K contains “forward-looking information” and “forward-looking statements” (collectively, “forward-looking information”) within the meaning of applicable securities laws. Forward-looking statements are frequently, but not always, identified by words such as “expects”, “anticipates”, “believes”, “intends”, “potential”, “possible”, “would” and similar expressions. Such statements, based as they are on current expectations of management, inherently involve numerous risks, uncertainties and assumptions, known and unknown, many of which are beyond our control. Forward-looking information is based on management’s current expectations and beliefs and is subject to a number of risks and uncertainties that could cause actual results to differ materially from those described in the forward-looking statements. Without limiting the foregoing, forward-looking information in this Current Report on Form 8-K includes, but is not limited to, statements about: the Merger, the change of control of the Company that will result from the First Merger, the closing of the Merger (if at all) and the expected timing thereof, the reductions in the capital of the Company in connection with any distributions to the Company’s shareholders, including any InMed Legacy Transaction Distributions, the Redomestication and the timing thereof, the reconstitution of the Board upon the completion of the Merger, the Mentari Therapeutics, Inc. 2026 Stock Incentive Plan, the Mentari Therapeutics, Inc. 2026 Employee Stock Purchase Plan, Merger-related compensation arrangements for the Company’s named executive officers, the appointment of Ernst &amp; Young, LLP as the Company’s auditor for the ensuing year, the satisfaction or waiver of closing conditions under the Merger Agreement, and trading of the Company’s Common Shares on Nasdaq post-Consolidation.</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Additionally, there are known and unknown risk factors which could cause the Company’s actual results, performance, or achievements to be materially different from any future results, performance or achievements expressed or implied by the forward-looking information contained herein. These risks and uncertainties include, but are not limited to, risks related to: the Merger may not be completed on the anticipated timeline or at all, the failure to satisfy the conditions to closing, the outcome of preclinical studies and clinical trials, regulatory approval processes, the combined company’s reliance on third parties, protection of intellectual property, the combined company’s need for substantial additional funding and Nasdaq’s effecting of the Consolidation and approval of the initial listing application of the combined company. Should one or more of these risks or uncertainties materialize, or should any of the Company’s, Mentari’s or the combined company’s assumptions prove incorrect, actual results may vary in material respects from those projected in these forward-looking statements. A complete discussion of the risks and uncertainties facing the Company’s stand-alone business is disclosed in the Company’s Annual Report on Form 10-K, as may be updated from time to time by the Company’s Quarterly Reports on Form 10-Q and other filings with the Securities and Exchange Commission available at www.sec.gov.</w:t>
      </w:r>
    </w:p>
    <w:p>
      <w:pPr>
        <w:spacing w:after="0" w:line="1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All forward-looking information herein is qualified in its entirety by this cautionary statement, and the Company disclaims any obligation to revise or update any such forward-looking information or to publicly announce the result of any revisions to any of the forward-looking information contained herein to reflect future results, events or developments, except as required by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of 1933, as amended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OR DETERMINED IF THIS COMMUNICATION IS TRUTHFUL OR COMPLETE.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5"/>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2"/>
                <w:szCs w:val="22"/>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Notice of alteration effecting the Name Change and Consolidation and designating the Series A Preferred Shares, effective November 4,</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2026.</w:t>
            </w:r>
          </w:p>
        </w:tc>
        <w:tc>
          <w:tcPr>
            <w:tcW w:w="244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6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Articles of Mentari Therapeutics, Inc. (formerly InMed Pharmaceuticals Inc.), as amended</w:t>
            </w:r>
          </w:p>
        </w:tc>
        <w:tc>
          <w:tcPr>
            <w:tcW w:w="3460" w:type="dxa"/>
            <w:vAlign w:val="bottom"/>
            <w:gridSpan w:val="2"/>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November 4, 2026.</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7140" w:type="dxa"/>
            <w:vAlign w:val="bottom"/>
            <w:gridSpan w:val="3"/>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MENTARI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Eric 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Eric A. Adams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700"/>
          </w:cols>
          <w:pgMar w:left="440" w:top="293" w:right="759" w:bottom="1440" w:gutter="0" w:footer="0" w:header="0"/>
        </w:sectPr>
      </w:pPr>
    </w:p>
    <w:bookmarkStart w:id="6" w:name="page7"/>
    <w:bookmarkEnd w:id="6"/>
    <w:p>
      <w:pPr>
        <w:ind w:left="918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181610</wp:posOffset>
            </wp:positionV>
            <wp:extent cx="5888990" cy="762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8990" cy="762952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23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8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w w:val="95"/>
              </w:rPr>
              <w:t>Exhibit 3.2</w:t>
            </w:r>
          </w:p>
        </w:tc>
      </w:tr>
      <w:tr>
        <w:trPr>
          <w:trHeight w:val="441"/>
        </w:trPr>
        <w:tc>
          <w:tcPr>
            <w:tcW w:w="81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Mailing Address:</w:t>
            </w:r>
          </w:p>
        </w:tc>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Location:</w:t>
            </w:r>
          </w:p>
        </w:tc>
      </w:tr>
      <w:tr>
        <w:trPr>
          <w:trHeight w:val="216"/>
        </w:trPr>
        <w:tc>
          <w:tcPr>
            <w:tcW w:w="81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PO Box 9431 Stn Prov Govt</w:t>
            </w:r>
          </w:p>
        </w:tc>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2nd Floor - 940 Blanshard Street</w:t>
            </w:r>
          </w:p>
        </w:tc>
      </w:tr>
      <w:tr>
        <w:trPr>
          <w:trHeight w:val="216"/>
        </w:trPr>
        <w:tc>
          <w:tcPr>
            <w:tcW w:w="81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Victoria BC V8W 9V3</w:t>
            </w:r>
          </w:p>
        </w:tc>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Victoria BC</w:t>
            </w:r>
          </w:p>
        </w:tc>
      </w:tr>
      <w:tr>
        <w:trPr>
          <w:trHeight w:val="234"/>
        </w:trPr>
        <w:tc>
          <w:tcPr>
            <w:tcW w:w="81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www.corporateonline.gov.bc.ca</w:t>
            </w:r>
          </w:p>
        </w:tc>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1 877 526-1526</w:t>
            </w:r>
          </w:p>
        </w:tc>
      </w:tr>
      <w:tr>
        <w:trPr>
          <w:trHeight w:val="27"/>
        </w:trPr>
        <w:tc>
          <w:tcPr>
            <w:tcW w:w="81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475"/>
        </w:trPr>
        <w:tc>
          <w:tcPr>
            <w:tcW w:w="8140" w:type="dxa"/>
            <w:vAlign w:val="bottom"/>
          </w:tcPr>
          <w:p>
            <w:pPr>
              <w:spacing w:after="0"/>
              <w:rPr>
                <w:sz w:val="24"/>
                <w:szCs w:val="24"/>
                <w:color w:val="auto"/>
              </w:rPr>
            </w:pP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CERTIFIED COPY</w:t>
            </w:r>
          </w:p>
        </w:tc>
      </w:tr>
      <w:tr>
        <w:trPr>
          <w:trHeight w:val="216"/>
        </w:trPr>
        <w:tc>
          <w:tcPr>
            <w:tcW w:w="11020" w:type="dxa"/>
            <w:vAlign w:val="bottom"/>
            <w:gridSpan w:val="2"/>
          </w:tcPr>
          <w:p>
            <w:pPr>
              <w:jc w:val="center"/>
              <w:ind w:left="7510"/>
              <w:spacing w:after="0"/>
              <w:rPr>
                <w:sz w:val="20"/>
                <w:szCs w:val="20"/>
                <w:color w:val="auto"/>
              </w:rPr>
            </w:pPr>
            <w:r>
              <w:rPr>
                <w:rFonts w:ascii="Times New Roman" w:cs="Times New Roman" w:eastAsia="Times New Roman" w:hAnsi="Times New Roman"/>
                <w:sz w:val="18"/>
                <w:szCs w:val="18"/>
                <w:color w:val="auto"/>
                <w:w w:val="99"/>
              </w:rPr>
              <w:t>Of a Document filed with the Province of</w:t>
            </w:r>
          </w:p>
        </w:tc>
      </w:tr>
      <w:tr>
        <w:trPr>
          <w:trHeight w:val="234"/>
        </w:trPr>
        <w:tc>
          <w:tcPr>
            <w:tcW w:w="11020" w:type="dxa"/>
            <w:vAlign w:val="bottom"/>
            <w:gridSpan w:val="2"/>
          </w:tcPr>
          <w:p>
            <w:pPr>
              <w:jc w:val="center"/>
              <w:ind w:left="7530"/>
              <w:spacing w:after="0"/>
              <w:rPr>
                <w:sz w:val="20"/>
                <w:szCs w:val="20"/>
                <w:color w:val="auto"/>
              </w:rPr>
            </w:pPr>
            <w:r>
              <w:rPr>
                <w:rFonts w:ascii="Times New Roman" w:cs="Times New Roman" w:eastAsia="Times New Roman" w:hAnsi="Times New Roman"/>
                <w:sz w:val="18"/>
                <w:szCs w:val="18"/>
                <w:color w:val="auto"/>
                <w:w w:val="99"/>
              </w:rPr>
              <w:t>British Columbia Registrar of Companies</w:t>
            </w:r>
          </w:p>
        </w:tc>
      </w:tr>
      <w:tr>
        <w:trPr>
          <w:trHeight w:val="547"/>
        </w:trPr>
        <w:tc>
          <w:tcPr>
            <w:tcW w:w="814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Notice of Articles</w:t>
            </w:r>
          </w:p>
        </w:tc>
        <w:tc>
          <w:tcPr>
            <w:tcW w:w="2880" w:type="dxa"/>
            <w:vAlign w:val="bottom"/>
          </w:tcPr>
          <w:p>
            <w:pPr>
              <w:spacing w:after="0"/>
              <w:rPr>
                <w:sz w:val="24"/>
                <w:szCs w:val="24"/>
                <w:color w:val="auto"/>
              </w:rPr>
            </w:pPr>
          </w:p>
        </w:tc>
      </w:tr>
      <w:tr>
        <w:trPr>
          <w:trHeight w:val="236"/>
        </w:trPr>
        <w:tc>
          <w:tcPr>
            <w:tcW w:w="8140" w:type="dxa"/>
            <w:vAlign w:val="bottom"/>
          </w:tcPr>
          <w:p>
            <w:pPr>
              <w:ind w:left="4480"/>
              <w:spacing w:after="0"/>
              <w:rPr>
                <w:sz w:val="20"/>
                <w:szCs w:val="20"/>
                <w:color w:val="auto"/>
              </w:rPr>
            </w:pPr>
            <w:r>
              <w:rPr>
                <w:rFonts w:ascii="Times New Roman" w:cs="Times New Roman" w:eastAsia="Times New Roman" w:hAnsi="Times New Roman"/>
                <w:sz w:val="18"/>
                <w:szCs w:val="18"/>
                <w:i w:val="1"/>
                <w:iCs w:val="1"/>
                <w:color w:val="auto"/>
              </w:rPr>
              <w:t>BUSINESS CORPORATIONS ACT</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KATHLEEN ASSAF</w:t>
            </w:r>
          </w:p>
        </w:tc>
      </w:tr>
      <w:tr>
        <w:trPr>
          <w:trHeight w:val="253"/>
        </w:trPr>
        <w:tc>
          <w:tcPr>
            <w:tcW w:w="81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r>
      <w:tr>
        <w:trPr>
          <w:trHeight w:val="469"/>
        </w:trPr>
        <w:tc>
          <w:tcPr>
            <w:tcW w:w="81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This Notice of Articles was issued by the Registrar on: November 4, 2026 01:34 PM Pacific Time</w:t>
            </w:r>
          </w:p>
        </w:tc>
        <w:tc>
          <w:tcPr>
            <w:tcW w:w="2880" w:type="dxa"/>
            <w:vAlign w:val="bottom"/>
            <w:tcBorders>
              <w:right w:val="single" w:sz="8" w:color="auto"/>
            </w:tcBorders>
          </w:tcPr>
          <w:p>
            <w:pPr>
              <w:spacing w:after="0"/>
              <w:rPr>
                <w:sz w:val="24"/>
                <w:szCs w:val="24"/>
                <w:color w:val="auto"/>
              </w:rPr>
            </w:pPr>
          </w:p>
        </w:tc>
      </w:tr>
      <w:tr>
        <w:trPr>
          <w:trHeight w:val="432"/>
        </w:trPr>
        <w:tc>
          <w:tcPr>
            <w:tcW w:w="814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Incorporation Number:         </w:t>
            </w:r>
            <w:r>
              <w:rPr>
                <w:rFonts w:ascii="Times New Roman" w:cs="Times New Roman" w:eastAsia="Times New Roman" w:hAnsi="Times New Roman"/>
                <w:sz w:val="18"/>
                <w:szCs w:val="18"/>
                <w:b w:val="1"/>
                <w:bCs w:val="1"/>
                <w:color w:val="auto"/>
              </w:rPr>
              <w:t>BC0234916</w:t>
            </w:r>
          </w:p>
        </w:tc>
        <w:tc>
          <w:tcPr>
            <w:tcW w:w="2880" w:type="dxa"/>
            <w:vAlign w:val="bottom"/>
            <w:tcBorders>
              <w:right w:val="single" w:sz="8" w:color="auto"/>
            </w:tcBorders>
          </w:tcPr>
          <w:p>
            <w:pPr>
              <w:spacing w:after="0"/>
              <w:rPr>
                <w:sz w:val="24"/>
                <w:szCs w:val="24"/>
                <w:color w:val="auto"/>
              </w:rPr>
            </w:pPr>
          </w:p>
        </w:tc>
      </w:tr>
      <w:tr>
        <w:trPr>
          <w:trHeight w:val="432"/>
        </w:trPr>
        <w:tc>
          <w:tcPr>
            <w:tcW w:w="81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Recognition Date:   Incorporated on May 19, 1981</w:t>
            </w:r>
          </w:p>
        </w:tc>
        <w:tc>
          <w:tcPr>
            <w:tcW w:w="2880" w:type="dxa"/>
            <w:vAlign w:val="bottom"/>
            <w:tcBorders>
              <w:right w:val="single" w:sz="8" w:color="auto"/>
            </w:tcBorders>
          </w:tcPr>
          <w:p>
            <w:pPr>
              <w:spacing w:after="0"/>
              <w:rPr>
                <w:sz w:val="24"/>
                <w:szCs w:val="24"/>
                <w:color w:val="auto"/>
              </w:rPr>
            </w:pPr>
          </w:p>
        </w:tc>
      </w:tr>
      <w:tr>
        <w:trPr>
          <w:trHeight w:val="267"/>
        </w:trPr>
        <w:tc>
          <w:tcPr>
            <w:tcW w:w="8140" w:type="dxa"/>
            <w:vAlign w:val="bottom"/>
            <w:tcBorders>
              <w:left w:val="single" w:sz="8" w:color="auto"/>
              <w:bottom w:val="single" w:sz="8" w:color="auto"/>
            </w:tcBorders>
          </w:tcPr>
          <w:p>
            <w:pPr>
              <w:spacing w:after="0"/>
              <w:rPr>
                <w:sz w:val="23"/>
                <w:szCs w:val="23"/>
                <w:color w:val="auto"/>
              </w:rPr>
            </w:pPr>
          </w:p>
        </w:tc>
        <w:tc>
          <w:tcPr>
            <w:tcW w:w="2880" w:type="dxa"/>
            <w:vAlign w:val="bottom"/>
            <w:tcBorders>
              <w:bottom w:val="single" w:sz="8" w:color="auto"/>
              <w:right w:val="single" w:sz="8" w:color="auto"/>
            </w:tcBorders>
          </w:tcPr>
          <w:p>
            <w:pPr>
              <w:spacing w:after="0"/>
              <w:rPr>
                <w:sz w:val="23"/>
                <w:szCs w:val="23"/>
                <w:color w:val="auto"/>
              </w:rPr>
            </w:pPr>
          </w:p>
        </w:tc>
      </w:tr>
      <w:tr>
        <w:trPr>
          <w:trHeight w:val="429"/>
        </w:trPr>
        <w:tc>
          <w:tcPr>
            <w:tcW w:w="814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NOTICE OF ARTICLES</w:t>
            </w:r>
          </w:p>
        </w:tc>
        <w:tc>
          <w:tcPr>
            <w:tcW w:w="2880" w:type="dxa"/>
            <w:vAlign w:val="bottom"/>
          </w:tcPr>
          <w:p>
            <w:pPr>
              <w:spacing w:after="0"/>
              <w:rPr>
                <w:sz w:val="24"/>
                <w:szCs w:val="24"/>
                <w:color w:val="auto"/>
              </w:rPr>
            </w:pPr>
          </w:p>
        </w:tc>
      </w:tr>
      <w:tr>
        <w:trPr>
          <w:trHeight w:val="432"/>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28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MENTARI THERAPEUTICS, INC.</w:t>
            </w:r>
          </w:p>
        </w:tc>
        <w:tc>
          <w:tcPr>
            <w:tcW w:w="2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-3616960</wp:posOffset>
            </wp:positionV>
            <wp:extent cx="172275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2755" cy="548640"/>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-2373630</wp:posOffset>
            </wp:positionV>
            <wp:extent cx="87439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4395" cy="28321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right="1620"/>
        <w:spacing w:after="0" w:line="365" w:lineRule="auto"/>
        <w:rPr>
          <w:sz w:val="20"/>
          <w:szCs w:val="20"/>
          <w:color w:val="auto"/>
        </w:rPr>
      </w:pPr>
      <w:r>
        <w:rPr>
          <w:rFonts w:ascii="Times New Roman" w:cs="Times New Roman" w:eastAsia="Times New Roman" w:hAnsi="Times New Roman"/>
          <w:sz w:val="18"/>
          <w:szCs w:val="18"/>
          <w:b w:val="1"/>
          <w:bCs w:val="1"/>
          <w:color w:val="auto"/>
        </w:rPr>
        <w:t>REGISTERED OFFICE INFORMATION Mailing Address:</w:t>
      </w:r>
    </w:p>
    <w:p>
      <w:pPr>
        <w:ind w:right="2040"/>
        <w:spacing w:after="0" w:line="255" w:lineRule="auto"/>
        <w:rPr>
          <w:sz w:val="20"/>
          <w:szCs w:val="20"/>
          <w:color w:val="auto"/>
        </w:rPr>
      </w:pPr>
      <w:r>
        <w:rPr>
          <w:rFonts w:ascii="Times New Roman" w:cs="Times New Roman" w:eastAsia="Times New Roman" w:hAnsi="Times New Roman"/>
          <w:sz w:val="18"/>
          <w:szCs w:val="18"/>
          <w:color w:val="auto"/>
        </w:rPr>
        <w:t>1800 - 510 WEST GEORGIA STREET VANCOUVER BC V6B 0M3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1800 - 510 WEST GEORGIA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V6B 0M3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186055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4900" w:space="720"/>
            <w:col w:w="5400"/>
          </w:cols>
          <w:pgMar w:left="440" w:top="117" w:right="439" w:bottom="1440" w:gutter="0" w:footer="0" w:header="0"/>
          <w:type w:val="continuous"/>
        </w:sectPr>
      </w:pPr>
    </w:p>
    <w:p>
      <w:pPr>
        <w:spacing w:after="0" w:line="279" w:lineRule="exact"/>
        <w:rPr>
          <w:sz w:val="20"/>
          <w:szCs w:val="20"/>
          <w:color w:val="auto"/>
        </w:rPr>
      </w:pPr>
    </w:p>
    <w:p>
      <w:pPr>
        <w:ind w:right="1920"/>
        <w:spacing w:after="0" w:line="365" w:lineRule="auto"/>
        <w:rPr>
          <w:sz w:val="20"/>
          <w:szCs w:val="20"/>
          <w:color w:val="auto"/>
        </w:rPr>
      </w:pPr>
      <w:r>
        <w:rPr>
          <w:rFonts w:ascii="Times New Roman" w:cs="Times New Roman" w:eastAsia="Times New Roman" w:hAnsi="Times New Roman"/>
          <w:sz w:val="18"/>
          <w:szCs w:val="18"/>
          <w:b w:val="1"/>
          <w:bCs w:val="1"/>
          <w:color w:val="auto"/>
        </w:rPr>
        <w:t>RECORDS OFFICE INFORMATION Mailing Address:</w:t>
      </w:r>
    </w:p>
    <w:p>
      <w:pPr>
        <w:ind w:right="2040"/>
        <w:spacing w:after="0" w:line="255" w:lineRule="auto"/>
        <w:rPr>
          <w:sz w:val="20"/>
          <w:szCs w:val="20"/>
          <w:color w:val="auto"/>
        </w:rPr>
      </w:pPr>
      <w:r>
        <w:rPr>
          <w:rFonts w:ascii="Times New Roman" w:cs="Times New Roman" w:eastAsia="Times New Roman" w:hAnsi="Times New Roman"/>
          <w:sz w:val="18"/>
          <w:szCs w:val="18"/>
          <w:color w:val="auto"/>
        </w:rPr>
        <w:t>1800 - 510 WEST GEORGIA STREET VANCOUVER BC V6B 0M3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1800 - 510 WEST GEORGIA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V6B 0M3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20" w:lineRule="exact"/>
        <w:rPr>
          <w:sz w:val="20"/>
          <w:szCs w:val="20"/>
          <w:color w:val="auto"/>
        </w:rPr>
      </w:pPr>
    </w:p>
    <w:p>
      <w:pPr>
        <w:sectPr>
          <w:pgSz w:w="11900" w:h="16838" w:orient="portrait"/>
          <w:cols w:equalWidth="0" w:num="2">
            <w:col w:w="4900" w:space="720"/>
            <w:col w:w="5400"/>
          </w:cols>
          <w:pgMar w:left="440" w:top="117" w:right="439" w:bottom="1440" w:gutter="0" w:footer="0" w:header="0"/>
          <w:type w:val="continuous"/>
        </w:sectPr>
      </w:pPr>
    </w:p>
    <w:p>
      <w:pPr>
        <w:spacing w:after="0" w:line="6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color w:val="auto"/>
        </w:rPr>
        <w:t>Page: 1 of 3</w:t>
      </w:r>
    </w:p>
    <w:p>
      <w:pPr>
        <w:sectPr>
          <w:pgSz w:w="11900" w:h="16838" w:orient="portrait"/>
          <w:cols w:equalWidth="0" w:num="1">
            <w:col w:w="11020"/>
          </w:cols>
          <w:pgMar w:left="440" w:top="117"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INFORMATION</w:t>
            </w:r>
          </w:p>
        </w:tc>
        <w:tc>
          <w:tcPr>
            <w:tcW w:w="6660" w:type="dxa"/>
            <w:vAlign w:val="bottom"/>
          </w:tcPr>
          <w:p>
            <w:pPr>
              <w:spacing w:after="0"/>
              <w:rPr>
                <w:sz w:val="20"/>
                <w:szCs w:val="20"/>
                <w:color w:val="auto"/>
              </w:rPr>
            </w:pPr>
          </w:p>
        </w:tc>
      </w:tr>
      <w:tr>
        <w:trPr>
          <w:trHeight w:val="441"/>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Last Name, First Name, Middle Name:</w:t>
            </w:r>
          </w:p>
        </w:tc>
        <w:tc>
          <w:tcPr>
            <w:tcW w:w="6660" w:type="dxa"/>
            <w:vAlign w:val="bottom"/>
          </w:tcPr>
          <w:p>
            <w:pPr>
              <w:spacing w:after="0"/>
              <w:rPr>
                <w:sz w:val="24"/>
                <w:szCs w:val="24"/>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Klompas, Neil</w:t>
            </w:r>
          </w:p>
        </w:tc>
        <w:tc>
          <w:tcPr>
            <w:tcW w:w="6660" w:type="dxa"/>
            <w:vAlign w:val="bottom"/>
          </w:tcPr>
          <w:p>
            <w:pPr>
              <w:spacing w:after="0"/>
              <w:rPr>
                <w:sz w:val="20"/>
                <w:szCs w:val="20"/>
                <w:color w:val="auto"/>
              </w:rPr>
            </w:pPr>
          </w:p>
        </w:tc>
      </w:tr>
      <w:tr>
        <w:trPr>
          <w:trHeight w:val="30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Mailing Address:</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Delivery Address:</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42 - 11291 7TH AVENUE</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42 - 11291 7TH AVENUE</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RICHMOND BC V7E 4J3</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RICHMOND BC V7E 4J3</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436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tcPr>
          <w:p>
            <w:pPr>
              <w:spacing w:after="0"/>
              <w:rPr>
                <w:sz w:val="19"/>
                <w:szCs w:val="19"/>
                <w:color w:val="auto"/>
              </w:rPr>
            </w:pPr>
          </w:p>
        </w:tc>
      </w:tr>
      <w:tr>
        <w:trPr>
          <w:trHeight w:val="28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Last Name, First Name, Middle Name:</w:t>
            </w:r>
          </w:p>
        </w:tc>
        <w:tc>
          <w:tcPr>
            <w:tcW w:w="6660" w:type="dxa"/>
            <w:vAlign w:val="bottom"/>
          </w:tcPr>
          <w:p>
            <w:pPr>
              <w:spacing w:after="0"/>
              <w:rPr>
                <w:sz w:val="24"/>
                <w:szCs w:val="24"/>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Bathery, John</w:t>
            </w:r>
          </w:p>
        </w:tc>
        <w:tc>
          <w:tcPr>
            <w:tcW w:w="6660" w:type="dxa"/>
            <w:vAlign w:val="bottom"/>
          </w:tcPr>
          <w:p>
            <w:pPr>
              <w:spacing w:after="0"/>
              <w:rPr>
                <w:sz w:val="20"/>
                <w:szCs w:val="20"/>
                <w:color w:val="auto"/>
              </w:rPr>
            </w:pPr>
          </w:p>
        </w:tc>
      </w:tr>
      <w:tr>
        <w:trPr>
          <w:trHeight w:val="30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Mailing Address:</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Delivery Address:</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189 SYCAMORE DRIVE</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189 SYCAMORE DRIVE</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HAWTHORN WOODS IL 60047</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HAWTHORN WOODS IL 60047</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436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tcPr>
          <w:p>
            <w:pPr>
              <w:spacing w:after="0"/>
              <w:rPr>
                <w:sz w:val="19"/>
                <w:szCs w:val="19"/>
                <w:color w:val="auto"/>
              </w:rPr>
            </w:pPr>
          </w:p>
        </w:tc>
      </w:tr>
      <w:tr>
        <w:trPr>
          <w:trHeight w:val="28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Last Name, First Name, Middle Name:</w:t>
            </w:r>
          </w:p>
        </w:tc>
        <w:tc>
          <w:tcPr>
            <w:tcW w:w="6660" w:type="dxa"/>
            <w:vAlign w:val="bottom"/>
          </w:tcPr>
          <w:p>
            <w:pPr>
              <w:spacing w:after="0"/>
              <w:rPr>
                <w:sz w:val="24"/>
                <w:szCs w:val="24"/>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Hull, Andrew</w:t>
            </w:r>
          </w:p>
        </w:tc>
        <w:tc>
          <w:tcPr>
            <w:tcW w:w="66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1445 - 885 WEST GEORGIA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V6C 3E8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1445 - 885 WEST GEORGIA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V6C 3E8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151765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Adams, Eric 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2160"/>
        <w:spacing w:after="0" w:line="263" w:lineRule="auto"/>
        <w:rPr>
          <w:sz w:val="20"/>
          <w:szCs w:val="20"/>
          <w:color w:val="auto"/>
        </w:rPr>
      </w:pPr>
      <w:r>
        <w:rPr>
          <w:rFonts w:ascii="Times New Roman" w:cs="Times New Roman" w:eastAsia="Times New Roman" w:hAnsi="Times New Roman"/>
          <w:sz w:val="18"/>
          <w:szCs w:val="18"/>
          <w:color w:val="auto"/>
        </w:rPr>
        <w:t>1445 - 885 WEST GEORGIA STREET VANCOUVER BC V6C 3E8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1445 - 885 WEST GEORGIA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V6C 3E8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151765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ectPr>
          <w:pgSz w:w="11900" w:h="16838" w:orient="portrait"/>
          <w:cols w:equalWidth="0" w:num="1">
            <w:col w:w="11020"/>
          </w:cols>
          <w:pgMar w:left="440" w:top="266" w:right="4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Lemerond, Nicole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MURRAY HILL ROAD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SCARSDALE NY 10583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MURRAY HILL ROAD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SCARSDALE NY 10583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151765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of Resolution(s) or Court Order(s) attaching or altering Special Rights and Restrictions attached to a class or a series of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24, 2017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4,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3</w:t>
      </w:r>
    </w:p>
    <w:p>
      <w:pPr>
        <w:sectPr>
          <w:pgSz w:w="11900" w:h="16838" w:orient="portrait"/>
          <w:cols w:equalWidth="0" w:num="1">
            <w:col w:w="11020"/>
          </w:cols>
          <w:pgMar w:left="440" w:top="266" w:right="439" w:bottom="1440" w:gutter="0" w:footer="0" w:header="0"/>
          <w:type w:val="continuous"/>
        </w:sectPr>
      </w:pPr>
    </w:p>
    <w:bookmarkStart w:id="10" w:name="page11"/>
    <w:bookmarkEnd w:id="10"/>
    <w:p>
      <w:pPr>
        <w:spacing w:after="0"/>
        <w:tabs>
          <w:tab w:leader="none" w:pos="2200" w:val="left"/>
          <w:tab w:leader="none" w:pos="6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No Maximum</w:t>
      </w:r>
      <w:r>
        <w:rPr>
          <w:sz w:val="20"/>
          <w:szCs w:val="20"/>
          <w:color w:val="auto"/>
        </w:rPr>
        <w:tab/>
      </w:r>
      <w:r>
        <w:rPr>
          <w:rFonts w:ascii="Times New Roman" w:cs="Times New Roman" w:eastAsia="Times New Roman" w:hAnsi="Times New Roman"/>
          <w:sz w:val="18"/>
          <w:szCs w:val="18"/>
          <w:color w:val="auto"/>
        </w:rPr>
        <w:t>Common Shares</w:t>
      </w:r>
      <w:r>
        <w:rPr>
          <w:sz w:val="20"/>
          <w:szCs w:val="20"/>
          <w:color w:val="auto"/>
        </w:rPr>
        <w:tab/>
      </w:r>
      <w:r>
        <w:rPr>
          <w:rFonts w:ascii="Times New Roman" w:cs="Times New Roman" w:eastAsia="Times New Roman" w:hAnsi="Times New Roman"/>
          <w:sz w:val="17"/>
          <w:szCs w:val="17"/>
          <w:color w:val="auto"/>
        </w:rPr>
        <w:t>Without Par Value</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With Special Rights or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Restrictions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spacing w:after="0"/>
        <w:tabs>
          <w:tab w:leader="none" w:pos="2200" w:val="left"/>
          <w:tab w:leader="none" w:pos="6600" w:val="left"/>
        </w:tabs>
        <w:rPr>
          <w:sz w:val="20"/>
          <w:szCs w:val="20"/>
          <w:color w:val="auto"/>
        </w:rPr>
      </w:pPr>
      <w:r>
        <w:rPr>
          <w:rFonts w:ascii="Times New Roman" w:cs="Times New Roman" w:eastAsia="Times New Roman" w:hAnsi="Times New Roman"/>
          <w:sz w:val="18"/>
          <w:szCs w:val="18"/>
          <w:color w:val="auto"/>
        </w:rPr>
        <w:t>2.    No Maximum</w:t>
      </w:r>
      <w:r>
        <w:rPr>
          <w:sz w:val="20"/>
          <w:szCs w:val="20"/>
          <w:color w:val="auto"/>
        </w:rPr>
        <w:tab/>
      </w:r>
      <w:r>
        <w:rPr>
          <w:rFonts w:ascii="Times New Roman" w:cs="Times New Roman" w:eastAsia="Times New Roman" w:hAnsi="Times New Roman"/>
          <w:sz w:val="18"/>
          <w:szCs w:val="18"/>
          <w:color w:val="auto"/>
        </w:rPr>
        <w:t>Preferred Shares</w:t>
      </w:r>
      <w:r>
        <w:rPr>
          <w:sz w:val="20"/>
          <w:szCs w:val="20"/>
          <w:color w:val="auto"/>
        </w:rPr>
        <w:tab/>
      </w:r>
      <w:r>
        <w:rPr>
          <w:rFonts w:ascii="Times New Roman" w:cs="Times New Roman" w:eastAsia="Times New Roman" w:hAnsi="Times New Roman"/>
          <w:sz w:val="17"/>
          <w:szCs w:val="17"/>
          <w:color w:val="auto"/>
        </w:rPr>
        <w:t>Without Par Value</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With Special Rights or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Restrictions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spacing w:after="0"/>
        <w:tabs>
          <w:tab w:leader="none" w:pos="2200" w:val="left"/>
          <w:tab w:leader="none" w:pos="6600" w:val="left"/>
        </w:tabs>
        <w:rPr>
          <w:sz w:val="20"/>
          <w:szCs w:val="20"/>
          <w:color w:val="auto"/>
        </w:rPr>
      </w:pPr>
      <w:r>
        <w:rPr>
          <w:rFonts w:ascii="Times New Roman" w:cs="Times New Roman" w:eastAsia="Times New Roman" w:hAnsi="Times New Roman"/>
          <w:sz w:val="18"/>
          <w:szCs w:val="18"/>
          <w:color w:val="auto"/>
        </w:rPr>
        <w:t>3.    No Maximum</w:t>
      </w:r>
      <w:r>
        <w:rPr>
          <w:sz w:val="20"/>
          <w:szCs w:val="20"/>
          <w:color w:val="auto"/>
        </w:rPr>
        <w:tab/>
      </w:r>
      <w:r>
        <w:rPr>
          <w:rFonts w:ascii="Times New Roman" w:cs="Times New Roman" w:eastAsia="Times New Roman" w:hAnsi="Times New Roman"/>
          <w:sz w:val="18"/>
          <w:szCs w:val="18"/>
          <w:color w:val="auto"/>
        </w:rPr>
        <w:t>Series A Non-Voting Preferred Shares</w:t>
      </w:r>
      <w:r>
        <w:rPr>
          <w:sz w:val="20"/>
          <w:szCs w:val="20"/>
          <w:color w:val="auto"/>
        </w:rPr>
        <w:tab/>
      </w:r>
      <w:r>
        <w:rPr>
          <w:rFonts w:ascii="Times New Roman" w:cs="Times New Roman" w:eastAsia="Times New Roman" w:hAnsi="Times New Roman"/>
          <w:sz w:val="17"/>
          <w:szCs w:val="17"/>
          <w:color w:val="auto"/>
        </w:rPr>
        <w:t>Without Par Value</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With Special Rights or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Restrictions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3</w:t>
      </w:r>
    </w:p>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RECEIVED FOR DEPOSIT AT THE</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RECORDS OFFICE ON NOVEMBER 20, 2020</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EXTRACT OF MINUTES OF ANNUAL AND SPECIAL MEETING</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BY THE SHAREHOLDERS OF THE COMPANY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ON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NOVEMBER, 2020</w:t>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“Approval of Amendment to Articles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BE IT RESOLVED, as a special resolution, THAT:</w:t>
      </w:r>
    </w:p>
    <w:p>
      <w:pPr>
        <w:spacing w:after="0" w:line="131"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.3 of the Articles of InMed Pharmaceuticals Inc. (the “Company”) be deleted in its entirety and replaced with the following:</w:t>
      </w:r>
    </w:p>
    <w:p>
      <w:pPr>
        <w:spacing w:after="0" w:line="11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“11.3 Quorum</w:t>
      </w:r>
    </w:p>
    <w:p>
      <w:pPr>
        <w:spacing w:after="0" w:line="121" w:lineRule="exact"/>
        <w:rPr>
          <w:rFonts w:ascii="Times New Roman" w:cs="Times New Roman" w:eastAsia="Times New Roman" w:hAnsi="Times New Roman"/>
          <w:sz w:val="18"/>
          <w:szCs w:val="18"/>
          <w:color w:val="auto"/>
        </w:rPr>
      </w:pPr>
    </w:p>
    <w:p>
      <w:pPr>
        <w:ind w:left="544"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special rights or restrictions attached to the shares of any class or series of shares and to Article 11.4, the quorum for the transaction of business at a meeting of shareholders is two persons who are, or who represent by proxy, shareholders who, in the aggregate, hold at least 33 1/3% of the issued shares entitled to be voted at the meeting.”</w:t>
      </w:r>
    </w:p>
    <w:p>
      <w:pPr>
        <w:spacing w:after="0" w:line="79" w:lineRule="exact"/>
        <w:rPr>
          <w:rFonts w:ascii="Times New Roman" w:cs="Times New Roman" w:eastAsia="Times New Roman" w:hAnsi="Times New Roman"/>
          <w:sz w:val="18"/>
          <w:szCs w:val="18"/>
          <w:color w:val="auto"/>
        </w:rPr>
      </w:pPr>
    </w:p>
    <w:p>
      <w:pPr>
        <w:ind w:left="544" w:right="20" w:hanging="544"/>
        <w:spacing w:after="0" w:line="284"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259 of the British Columbia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alteration of Article 11.3 of the Articles of the Company shall not take effect until a copy of this resolution is received for deposit at the Company’s records office.”</w:t>
      </w:r>
    </w:p>
    <w:p>
      <w:pPr>
        <w:spacing w:after="0" w:line="52"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effective as of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November, 2020.</w:t>
      </w:r>
    </w:p>
    <w:p>
      <w:pPr>
        <w:spacing w:after="0" w:line="16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Bruce Colwill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Bruce Colwill</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CFO and Corporate Secretary</w:t>
      </w:r>
    </w:p>
    <w:p>
      <w:pPr>
        <w:sectPr>
          <w:pgSz w:w="11900" w:h="16838" w:orient="portrait"/>
          <w:cols w:equalWidth="0" w:num="1">
            <w:col w:w="11024"/>
          </w:cols>
          <w:pgMar w:left="436" w:top="268"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RECEIVED FOR DEPOSIT ON MARCH 24, 2017</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NOTICE OF ALTERATION FILED ON MARCH 24,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w:t>
      </w:r>
    </w:p>
    <w:p>
      <w:pPr>
        <w:spacing w:after="0" w:line="203" w:lineRule="exact"/>
        <w:rPr>
          <w:sz w:val="20"/>
          <w:szCs w:val="20"/>
          <w:color w:val="auto"/>
        </w:rPr>
      </w:pPr>
    </w:p>
    <w:p>
      <w:pPr>
        <w:ind w:left="1980"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EXTRACT OF SPECIAL RESOLUTIONS </w:t>
      </w:r>
      <w:r>
        <w:rPr>
          <w:rFonts w:ascii="Times New Roman" w:cs="Times New Roman" w:eastAsia="Times New Roman" w:hAnsi="Times New Roman"/>
          <w:sz w:val="18"/>
          <w:szCs w:val="18"/>
          <w:color w:val="auto"/>
        </w:rPr>
        <w:t>APPROVED AND PASSED BY A SPECIAL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COMPANY, ENTITLED TO VOTE THEREON AT A SPECIAL MEETING HELD ON MARCH 24, 2017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 TO SHARE STRUCTURE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RESOLVED, as a special resolution, THAT:</w:t>
      </w:r>
    </w:p>
    <w:p>
      <w:pPr>
        <w:spacing w:after="0" w:line="127" w:lineRule="exact"/>
        <w:rPr>
          <w:sz w:val="20"/>
          <w:szCs w:val="20"/>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share structure of InMed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be altered by:</w:t>
      </w:r>
    </w:p>
    <w:p>
      <w:pPr>
        <w:spacing w:after="0" w:line="130" w:lineRule="exact"/>
        <w:rPr>
          <w:rFonts w:ascii="Times New Roman" w:cs="Times New Roman" w:eastAsia="Times New Roman" w:hAnsi="Times New Roman"/>
          <w:sz w:val="18"/>
          <w:szCs w:val="18"/>
          <w:color w:val="auto"/>
        </w:rPr>
      </w:pPr>
    </w:p>
    <w:p>
      <w:pPr>
        <w:ind w:left="2400" w:right="180" w:hanging="649"/>
        <w:spacing w:after="0" w:line="286" w:lineRule="auto"/>
        <w:tabs>
          <w:tab w:leader="none" w:pos="2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cancelling the 20,000,000 Class “A” Preference shares with a par value of $50.00 each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xml:space="preserve"> none of which are issued and outstanding;</w:t>
      </w:r>
    </w:p>
    <w:p>
      <w:pPr>
        <w:spacing w:after="0" w:line="60" w:lineRule="exact"/>
        <w:rPr>
          <w:rFonts w:ascii="Times New Roman" w:cs="Times New Roman" w:eastAsia="Times New Roman" w:hAnsi="Times New Roman"/>
          <w:sz w:val="18"/>
          <w:szCs w:val="18"/>
          <w:color w:val="auto"/>
        </w:rPr>
      </w:pPr>
    </w:p>
    <w:p>
      <w:pPr>
        <w:ind w:left="2400" w:right="100" w:hanging="649"/>
        <w:spacing w:after="0" w:line="286" w:lineRule="auto"/>
        <w:tabs>
          <w:tab w:leader="none" w:pos="2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cancelling the 20,000,000 Class “B” Preference shares with a par value of $250.00 each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xml:space="preserve"> none of which are issued and outstanding;</w:t>
      </w:r>
    </w:p>
    <w:p>
      <w:pPr>
        <w:spacing w:after="0" w:line="64"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abrogating the special rights or restrictions attaching to the Class A Shares and the Class B Shares;</w:t>
      </w:r>
    </w:p>
    <w:p>
      <w:pPr>
        <w:spacing w:after="0" w:line="126"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an unlimited number of preferred shares without par value (the </w:t>
      </w:r>
      <w:r>
        <w:rPr>
          <w:rFonts w:ascii="Times New Roman" w:cs="Times New Roman" w:eastAsia="Times New Roman" w:hAnsi="Times New Roman"/>
          <w:sz w:val="18"/>
          <w:szCs w:val="18"/>
          <w:b w:val="1"/>
          <w:bCs w:val="1"/>
          <w:color w:val="auto"/>
        </w:rPr>
        <w:t>“Preferred Shares”);</w:t>
      </w:r>
    </w:p>
    <w:p>
      <w:pPr>
        <w:spacing w:after="0" w:line="134" w:lineRule="exact"/>
        <w:rPr>
          <w:rFonts w:ascii="Times New Roman" w:cs="Times New Roman" w:eastAsia="Times New Roman" w:hAnsi="Times New Roman"/>
          <w:sz w:val="18"/>
          <w:szCs w:val="18"/>
          <w:color w:val="auto"/>
        </w:rPr>
      </w:pPr>
    </w:p>
    <w:p>
      <w:pPr>
        <w:jc w:val="both"/>
        <w:ind w:left="2400" w:right="180" w:hanging="649"/>
        <w:spacing w:after="0" w:line="266" w:lineRule="auto"/>
        <w:tabs>
          <w:tab w:leader="none" w:pos="2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the common shares without par value and the Preferred Shares, the special rights or restrictions set out in Articles 27 and 28 of the Amended and Restated Articles of the Company attached as Appendix A to the information circular of the Company dated February 22, 2017.</w:t>
      </w:r>
    </w:p>
    <w:p>
      <w:pPr>
        <w:spacing w:after="0" w:line="81" w:lineRule="exact"/>
        <w:rPr>
          <w:sz w:val="20"/>
          <w:szCs w:val="20"/>
          <w:color w:val="auto"/>
        </w:rPr>
      </w:pPr>
    </w:p>
    <w:p>
      <w:pPr>
        <w:ind w:left="1180" w:hanging="644"/>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Articles of the Company be altered to reflect the alterations authorized by the preceding resolution.</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257 of the British Columbia Business Corporations Act, the alteration of the authorized share structure of the Company shall not take effect until a copy of these resolutions are received for deposit at the Company’s records office and a Notice of Alteration identifying the date of these resolutions has been filed with the Registrar of Companies.</w:t>
      </w:r>
    </w:p>
    <w:p>
      <w:pPr>
        <w:spacing w:after="0" w:line="81"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Company be authorized to execute and deliver all such documents and instruments including a Notice of Alteration, and to do such further acts, as may be necessary to give full effect to these resolutions or as may be required to carry out the full intent and meaning thereof.</w:t>
      </w:r>
    </w:p>
    <w:p>
      <w:pPr>
        <w:spacing w:after="0" w:line="81"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be and are authorized to revoke this ordinary resolution before it is acted on without further approval of the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ALTERATIONS TO THE ARTICLES</w:t>
      </w:r>
    </w:p>
    <w:p>
      <w:pPr>
        <w:sectPr>
          <w:pgSz w:w="11900" w:h="16838" w:orient="portrait"/>
          <w:cols w:equalWidth="0" w:num="1">
            <w:col w:w="11020"/>
          </w:cols>
          <w:pgMar w:left="440" w:top="268"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IT RESOLVED, as a special resolution, THAT:</w:t>
      </w:r>
    </w:p>
    <w:p>
      <w:pPr>
        <w:spacing w:after="0" w:line="127" w:lineRule="exact"/>
        <w:rPr>
          <w:sz w:val="20"/>
          <w:szCs w:val="20"/>
          <w:color w:val="auto"/>
        </w:rPr>
      </w:pPr>
    </w:p>
    <w:p>
      <w:pPr>
        <w:jc w:val="both"/>
        <w:ind w:left="1180" w:hanging="644"/>
        <w:spacing w:after="0" w:line="263"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Articles of InMed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be abrogated and amended and restated substantially in the form of the Amended and Restated Articles attached as Appendix A to the information circular of the Company dated February 22, 2017 (the</w:t>
      </w: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“Circular”).</w:t>
      </w:r>
    </w:p>
    <w:p>
      <w:pPr>
        <w:spacing w:after="0" w:line="108" w:lineRule="exact"/>
        <w:rPr>
          <w:rFonts w:ascii="Times New Roman" w:cs="Times New Roman" w:eastAsia="Times New Roman" w:hAnsi="Times New Roman"/>
          <w:sz w:val="18"/>
          <w:szCs w:val="18"/>
          <w:color w:val="auto"/>
        </w:rPr>
      </w:pPr>
    </w:p>
    <w:p>
      <w:pPr>
        <w:ind w:left="1180" w:right="120" w:hanging="644"/>
        <w:spacing w:after="0" w:line="262"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259 of the British Columbia Business Corporations Act (the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xml:space="preserve"> the alteration of Articles 27 and 28 of the Articles of the Company set forth in the form of the Amended and Restated Articles attached as Appendix A to the Circular shall not take effect until a copy of this resolution is received for deposit at the Company’s records office and a Notice of Alteration identifying the date of this resolution has been filed with the Registrar of Companies.</w:t>
      </w:r>
    </w:p>
    <w:p>
      <w:pPr>
        <w:spacing w:after="0" w:line="85"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259 of the BCBCA, all other alterations of the Articles of the Company set forth in the form of the Amended and Restated Articles attached as Appendix A to the Circular shall not take effect until a copy of this resolution is received for deposit at the Company’s records office.</w:t>
      </w:r>
    </w:p>
    <w:p>
      <w:pPr>
        <w:spacing w:after="0" w:line="81" w:lineRule="exact"/>
        <w:rPr>
          <w:rFonts w:ascii="Times New Roman" w:cs="Times New Roman" w:eastAsia="Times New Roman" w:hAnsi="Times New Roman"/>
          <w:sz w:val="18"/>
          <w:szCs w:val="18"/>
          <w:color w:val="auto"/>
        </w:rPr>
      </w:pPr>
    </w:p>
    <w:p>
      <w:pPr>
        <w:ind w:left="1180" w:hanging="644"/>
        <w:spacing w:after="0" w:line="266"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Company be authorized to execute and deliver all such documents and instruments, including a Notice of Alteration, and to do such further acts, as may be necessary to give full effect to this resolution or as may be required to carry out the full intent and meaning thereof.</w:t>
      </w:r>
    </w:p>
    <w:p>
      <w:pPr>
        <w:spacing w:after="0" w:line="68" w:lineRule="exact"/>
        <w:rPr>
          <w:sz w:val="20"/>
          <w:szCs w:val="20"/>
          <w:color w:val="auto"/>
        </w:rPr>
      </w:pPr>
    </w:p>
    <w:p>
      <w:pPr>
        <w:ind w:left="540" w:right="640"/>
        <w:spacing w:after="0" w:line="282" w:lineRule="auto"/>
        <w:rPr>
          <w:sz w:val="20"/>
          <w:szCs w:val="20"/>
          <w:color w:val="auto"/>
        </w:rPr>
      </w:pPr>
      <w:r>
        <w:rPr>
          <w:rFonts w:ascii="Times New Roman" w:cs="Times New Roman" w:eastAsia="Times New Roman" w:hAnsi="Times New Roman"/>
          <w:sz w:val="18"/>
          <w:szCs w:val="18"/>
          <w:color w:val="auto"/>
        </w:rPr>
        <w:t>The directors of the Company be and are authorized to revoke this special resolution before it is acted on without further approval of the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True and Correct this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March, 2017.</w:t>
      </w:r>
    </w:p>
    <w:p>
      <w:pPr>
        <w:spacing w:after="0" w:line="1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Eric 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Eric A. Adams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CEO</w:t>
      </w:r>
    </w:p>
    <w:p>
      <w:pPr>
        <w:sectPr>
          <w:pgSz w:w="11900" w:h="16838" w:orient="portrait"/>
          <w:cols w:equalWidth="0" w:num="1">
            <w:col w:w="11000"/>
          </w:cols>
          <w:pgMar w:left="440" w:top="270"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r>
      <w:tr>
        <w:trPr>
          <w:trHeight w:val="432"/>
        </w:trPr>
        <w:tc>
          <w:tcPr>
            <w:tcW w:w="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Incorporation number: BC02349I6</w:t>
            </w:r>
          </w:p>
        </w:tc>
      </w:tr>
      <w:tr>
        <w:trPr>
          <w:trHeight w:val="414"/>
        </w:trPr>
        <w:tc>
          <w:tcPr>
            <w:tcW w:w="280" w:type="dxa"/>
            <w:vAlign w:val="bottom"/>
          </w:tcPr>
          <w:p>
            <w:pPr>
              <w:spacing w:after="0"/>
              <w:rPr>
                <w:sz w:val="24"/>
                <w:szCs w:val="24"/>
                <w:color w:val="auto"/>
              </w:rPr>
            </w:pPr>
          </w:p>
        </w:tc>
        <w:tc>
          <w:tcPr>
            <w:tcW w:w="744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INMED PHARMACEUTICALS INC.</w:t>
            </w:r>
          </w:p>
        </w:tc>
        <w:tc>
          <w:tcPr>
            <w:tcW w:w="330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744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(the “Company”)</w:t>
            </w:r>
          </w:p>
        </w:tc>
        <w:tc>
          <w:tcPr>
            <w:tcW w:w="330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74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ARTICLES</w:t>
            </w:r>
          </w:p>
        </w:tc>
        <w:tc>
          <w:tcPr>
            <w:tcW w:w="3300" w:type="dxa"/>
            <w:vAlign w:val="bottom"/>
          </w:tcPr>
          <w:p>
            <w:pPr>
              <w:spacing w:after="0"/>
              <w:rPr>
                <w:sz w:val="24"/>
                <w:szCs w:val="24"/>
                <w:color w:val="auto"/>
              </w:rPr>
            </w:pPr>
          </w:p>
        </w:tc>
      </w:tr>
      <w:tr>
        <w:trPr>
          <w:trHeight w:val="44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AND SHARE CERTIFICATES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 OF SHARES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REGISTERS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TRANSFERS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TRANSMISSION OF SHARES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COMPANY’S SHARES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POWERS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ALTERATIONS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 OF SHAREHOLDERS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PROCEEDINGS AT MEETINGS OF SHAREHOLDERS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VOTES OF SHAREHOLDERS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AND REMOVAL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ALTERNATE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AND DUTIES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 OF DIRECTORS AND OFFICERS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PROCEEDINGS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AND OTHER COMMITTEES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RECORDS AND AUDITOR</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PROHIBITIONS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RIGHTS OR RESTRICTIONS ATTACHING TO THE COMMON SHARES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RIGHTS OR RESTRICTIONS ATTACHING TO THE PREFERRED SHARES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p>
      <w:pPr>
        <w:ind w:left="4" w:right="8820" w:hanging="4"/>
        <w:spacing w:after="0" w:line="408" w:lineRule="auto"/>
        <w:tabs>
          <w:tab w:leader="none" w:pos="5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 1.1 Definitions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these Articles, unless the context otherwise requires:</w:t>
      </w:r>
    </w:p>
    <w:p>
      <w:pPr>
        <w:spacing w:after="0" w:line="127" w:lineRule="exact"/>
        <w:rPr>
          <w:sz w:val="20"/>
          <w:szCs w:val="20"/>
          <w:color w:val="auto"/>
        </w:rPr>
      </w:pPr>
    </w:p>
    <w:p>
      <w:pPr>
        <w:ind w:left="1184" w:hanging="644"/>
        <w:spacing w:after="0"/>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“appropriate person” </w:t>
      </w:r>
      <w:r>
        <w:rPr>
          <w:rFonts w:ascii="Times New Roman" w:cs="Times New Roman" w:eastAsia="Times New Roman" w:hAnsi="Times New Roman"/>
          <w:sz w:val="18"/>
          <w:szCs w:val="18"/>
          <w:color w:val="auto"/>
        </w:rPr>
        <w:t>has the meaning assigned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Securities Transfer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“board of directors”, “directors”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w:t>
      </w:r>
      <w:r>
        <w:rPr>
          <w:rFonts w:ascii="Times New Roman" w:cs="Times New Roman" w:eastAsia="Times New Roman" w:hAnsi="Times New Roman"/>
          <w:sz w:val="18"/>
          <w:szCs w:val="18"/>
          <w:color w:val="auto"/>
        </w:rPr>
        <w:t>mean the directors or sole director of the Company for the time being;</w:t>
      </w:r>
    </w:p>
    <w:p>
      <w:pPr>
        <w:spacing w:after="0" w:line="130" w:lineRule="exact"/>
        <w:rPr>
          <w:rFonts w:ascii="Times New Roman" w:cs="Times New Roman" w:eastAsia="Times New Roman" w:hAnsi="Times New Roman"/>
          <w:sz w:val="18"/>
          <w:szCs w:val="18"/>
          <w:color w:val="auto"/>
        </w:rPr>
      </w:pPr>
    </w:p>
    <w:p>
      <w:pPr>
        <w:ind w:left="1184" w:hanging="644"/>
        <w:spacing w:after="0" w:line="286" w:lineRule="auto"/>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Columbia) from time to time in force and all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and includes all regulations and amendments thereto made pursuant to that Act;</w:t>
      </w:r>
    </w:p>
    <w:p>
      <w:pPr>
        <w:spacing w:after="0" w:line="60" w:lineRule="exact"/>
        <w:rPr>
          <w:rFonts w:ascii="Times New Roman" w:cs="Times New Roman" w:eastAsia="Times New Roman" w:hAnsi="Times New Roman"/>
          <w:sz w:val="18"/>
          <w:szCs w:val="18"/>
          <w:color w:val="auto"/>
        </w:rPr>
      </w:pPr>
    </w:p>
    <w:p>
      <w:pPr>
        <w:ind w:left="1184" w:right="440" w:hanging="644"/>
        <w:spacing w:after="0" w:line="286" w:lineRule="auto"/>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“Interpretation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Columbia) from time to time in force and all amendments thereto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all regulations and amendments thereto made pursuant to that Act;</w:t>
      </w:r>
    </w:p>
    <w:p>
      <w:pPr>
        <w:spacing w:after="0" w:line="6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“legal personal representative” </w:t>
      </w:r>
      <w:r>
        <w:rPr>
          <w:rFonts w:ascii="Times New Roman" w:cs="Times New Roman" w:eastAsia="Times New Roman" w:hAnsi="Times New Roman"/>
          <w:sz w:val="18"/>
          <w:szCs w:val="18"/>
          <w:color w:val="auto"/>
        </w:rPr>
        <w:t>means the personal or other legal representative of a shareholder;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“protected purchaser” </w:t>
      </w:r>
      <w:r>
        <w:rPr>
          <w:rFonts w:ascii="Times New Roman" w:cs="Times New Roman" w:eastAsia="Times New Roman" w:hAnsi="Times New Roman"/>
          <w:sz w:val="18"/>
          <w:szCs w:val="18"/>
          <w:color w:val="auto"/>
        </w:rPr>
        <w:t>has the meaning assigned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Securities Transfer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address” </w:t>
      </w:r>
      <w:r>
        <w:rPr>
          <w:rFonts w:ascii="Times New Roman" w:cs="Times New Roman" w:eastAsia="Times New Roman" w:hAnsi="Times New Roman"/>
          <w:sz w:val="18"/>
          <w:szCs w:val="18"/>
          <w:color w:val="auto"/>
        </w:rPr>
        <w:t>of a shareholder means the shareholder’s address as recorded in the central securities register;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means the seal of the Company, if any;</w:t>
      </w:r>
    </w:p>
    <w:p>
      <w:pPr>
        <w:spacing w:after="0" w:line="130" w:lineRule="exact"/>
        <w:rPr>
          <w:rFonts w:ascii="Times New Roman" w:cs="Times New Roman" w:eastAsia="Times New Roman" w:hAnsi="Times New Roman"/>
          <w:sz w:val="18"/>
          <w:szCs w:val="18"/>
          <w:color w:val="auto"/>
        </w:rPr>
      </w:pPr>
    </w:p>
    <w:p>
      <w:pPr>
        <w:ind w:left="1184" w:right="20" w:hanging="644"/>
        <w:spacing w:after="0" w:line="257" w:lineRule="auto"/>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legislation” </w:t>
      </w:r>
      <w:r>
        <w:rPr>
          <w:rFonts w:ascii="Times New Roman" w:cs="Times New Roman" w:eastAsia="Times New Roman" w:hAnsi="Times New Roman"/>
          <w:sz w:val="18"/>
          <w:szCs w:val="18"/>
          <w:color w:val="auto"/>
        </w:rPr>
        <w:t>means statutes concerning the regulation of securities markets and trading in securities and the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rules, forms and schedules under those statutes, all as amended from time to time, and the blanket rulings and orders, as amended from time to time, issued by the securities commissions or similar regulatory authorities appointed under or pursuant to those statutes; </w:t>
      </w:r>
      <w:r>
        <w:rPr>
          <w:rFonts w:ascii="Times New Roman" w:cs="Times New Roman" w:eastAsia="Times New Roman" w:hAnsi="Times New Roman"/>
          <w:sz w:val="18"/>
          <w:szCs w:val="18"/>
          <w:b w:val="1"/>
          <w:bCs w:val="1"/>
          <w:color w:val="auto"/>
        </w:rPr>
        <w:t xml:space="preserve">“Canadian securities legislation” </w:t>
      </w:r>
      <w:r>
        <w:rPr>
          <w:rFonts w:ascii="Times New Roman" w:cs="Times New Roman" w:eastAsia="Times New Roman" w:hAnsi="Times New Roman"/>
          <w:sz w:val="18"/>
          <w:szCs w:val="18"/>
          <w:color w:val="auto"/>
        </w:rPr>
        <w:t>means the securities legislation in any province or territory of Canada and includes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(British Columbia);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“U.S. securities legislation”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legislation in the federal jurisdiction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any state of the United States and includes the Securities Act of 1933 and the Securities Exchange Act of 1934;</w:t>
      </w:r>
    </w:p>
    <w:p>
      <w:pPr>
        <w:spacing w:after="0" w:line="87" w:lineRule="exact"/>
        <w:rPr>
          <w:rFonts w:ascii="Times New Roman" w:cs="Times New Roman" w:eastAsia="Times New Roman" w:hAnsi="Times New Roman"/>
          <w:sz w:val="18"/>
          <w:szCs w:val="18"/>
          <w:color w:val="auto"/>
        </w:rPr>
      </w:pPr>
    </w:p>
    <w:p>
      <w:pPr>
        <w:ind w:left="1184" w:right="20" w:hanging="644"/>
        <w:spacing w:after="0" w:line="286" w:lineRule="auto"/>
        <w:tabs>
          <w:tab w:leader="none" w:pos="1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Transfer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Securities Transfer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Columbia) from time to time in force and all amendments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includes all regulations and amendments thereto made pursuant to that Act.</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Business Corporations Act and Interpretation Act Definitions Applicable</w:t>
      </w:r>
    </w:p>
    <w:p>
      <w:pPr>
        <w:spacing w:after="0" w:line="11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 xml:space="preserve">The definitions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the definitions and rules of construction in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xml:space="preserve"> with the necessary changes, so far as applicable, and unless the context requires otherwise, apply to these Articles as if they were an enactment. If there is a conflict or inconsistency between a definition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a definition or rule in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xml:space="preserve"> relating to a term used in these Articles, the definition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will prevail in relation to the use of the term in these Articles. If there is a conflict or inconsistency between these Articles and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will prevail.</w:t>
      </w:r>
    </w:p>
    <w:p>
      <w:pPr>
        <w:sectPr>
          <w:pgSz w:w="11900" w:h="16838" w:orient="portrait"/>
          <w:cols w:equalWidth="0" w:num="1">
            <w:col w:w="10964"/>
          </w:cols>
          <w:pgMar w:left="436" w:top="266" w:right="499" w:bottom="1440" w:gutter="0" w:footer="0" w:header="0"/>
        </w:sectPr>
      </w:pPr>
    </w:p>
    <w:bookmarkStart w:id="16" w:name="page17"/>
    <w:bookmarkEnd w:id="16"/>
    <w:p>
      <w:pPr>
        <w:ind w:left="4" w:right="7260" w:hanging="4"/>
        <w:spacing w:after="0" w:line="408" w:lineRule="auto"/>
        <w:tabs>
          <w:tab w:leader="none" w:pos="544"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AND SHARE CERTIFICATES 2.1 Authorized Share Structure</w:t>
      </w:r>
    </w:p>
    <w:p>
      <w:pPr>
        <w:spacing w:after="0" w:line="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authorized share structure of the Company consists of shares of the class or classes and series, if any, described in the Notice of Articles of the Company.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Form of Share Certificate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Each share certificate issued by the Company must comply with, and be signed as required by, the </w:t>
      </w:r>
      <w:r>
        <w:rPr>
          <w:rFonts w:ascii="Times New Roman" w:cs="Times New Roman" w:eastAsia="Times New Roman" w:hAnsi="Times New Roman"/>
          <w:sz w:val="18"/>
          <w:szCs w:val="18"/>
          <w:i w:val="1"/>
          <w:iCs w:val="1"/>
          <w:color w:val="auto"/>
        </w:rPr>
        <w:t>Business Corporations Act.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Shareholder Entitled to Certificate or Acknowledgment</w:t>
      </w:r>
    </w:p>
    <w:p>
      <w:pPr>
        <w:spacing w:after="0" w:line="121" w:lineRule="exact"/>
        <w:rPr>
          <w:sz w:val="20"/>
          <w:szCs w:val="20"/>
          <w:color w:val="auto"/>
        </w:rPr>
      </w:pPr>
    </w:p>
    <w:p>
      <w:pPr>
        <w:ind w:left="4" w:right="120"/>
        <w:spacing w:after="0" w:line="277" w:lineRule="auto"/>
        <w:rPr>
          <w:sz w:val="20"/>
          <w:szCs w:val="20"/>
          <w:color w:val="auto"/>
        </w:rPr>
      </w:pPr>
      <w:r>
        <w:rPr>
          <w:rFonts w:ascii="Times New Roman" w:cs="Times New Roman" w:eastAsia="Times New Roman" w:hAnsi="Times New Roman"/>
          <w:sz w:val="17"/>
          <w:szCs w:val="17"/>
          <w:color w:val="auto"/>
        </w:rPr>
        <w:t>Unless the shares of which the shareholder is the registered owner are uncertificated shares, each shareholder is entitled upon request and without charge, to (a) one share certificate representing the shares of each class or series of shares registered in the shareholder’s name or (b) a non-transferable written acknowledgment (an “Acknowledgment”) of the shareholder’s right to obtain such a share certificate, provided that in respect of a share held jointly by several persons, the Company is not bound to issue more than one share certificate or Acknowledgment and delivery of a share certificate or Acknowledgment to one of several joint shareholders or to a duly authorized agent of one of the joint shareholders will be sufficient delivery to all.</w:t>
      </w:r>
    </w:p>
    <w:p>
      <w:pPr>
        <w:spacing w:after="0" w:line="6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Delivery by Mail</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Any share certificate or Acknowledgment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Replacement of Worn Out or Defaced Certificate or Acknowledgement</w:t>
      </w:r>
    </w:p>
    <w:p>
      <w:pPr>
        <w:spacing w:after="0" w:line="121" w:lineRule="exact"/>
        <w:rPr>
          <w:sz w:val="20"/>
          <w:szCs w:val="20"/>
          <w:color w:val="auto"/>
        </w:rPr>
      </w:pPr>
    </w:p>
    <w:p>
      <w:pPr>
        <w:ind w:left="4" w:right="340"/>
        <w:spacing w:after="0" w:line="312" w:lineRule="auto"/>
        <w:rPr>
          <w:sz w:val="20"/>
          <w:szCs w:val="20"/>
          <w:color w:val="auto"/>
        </w:rPr>
      </w:pPr>
      <w:r>
        <w:rPr>
          <w:rFonts w:ascii="Times New Roman" w:cs="Times New Roman" w:eastAsia="Times New Roman" w:hAnsi="Times New Roman"/>
          <w:sz w:val="17"/>
          <w:szCs w:val="17"/>
          <w:color w:val="auto"/>
        </w:rPr>
        <w:t>If the directors are satisfied that a share certificate or Acknowledgment of the shareholder’s right to obtain a share certificate is worn out or defaced, they must, on production to them of the share certificate or Acknowledgment, as the case may be, and on such other terms, if any, as they think fit:</w:t>
      </w:r>
    </w:p>
    <w:p>
      <w:pPr>
        <w:spacing w:after="0" w:line="45" w:lineRule="exact"/>
        <w:rPr>
          <w:sz w:val="20"/>
          <w:szCs w:val="20"/>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the share certificate or Acknowledgment, as the case may be, to be cancelled; and</w:t>
      </w:r>
    </w:p>
    <w:p>
      <w:pPr>
        <w:spacing w:after="0" w:line="131" w:lineRule="exact"/>
        <w:rPr>
          <w:sz w:val="20"/>
          <w:szCs w:val="20"/>
          <w:color w:val="auto"/>
        </w:rPr>
      </w:pPr>
    </w:p>
    <w:p>
      <w:pPr>
        <w:ind w:left="1184" w:hanging="644"/>
        <w:spacing w:after="0"/>
        <w:tabs>
          <w:tab w:leader="none" w:pos="1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replacement share certificate or Acknowledgment, as the case may be.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Replacement of Lost, Destroyed or Wrongfully Taken Certificate</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 person entitled to a share certificate claims that the share certificate has been lost, destroyed or wrongfully taken, the Company must issue a new share certificate, if that person:</w:t>
      </w:r>
    </w:p>
    <w:p>
      <w:pPr>
        <w:spacing w:after="0" w:line="67" w:lineRule="exact"/>
        <w:rPr>
          <w:sz w:val="20"/>
          <w:szCs w:val="20"/>
          <w:color w:val="auto"/>
        </w:rPr>
      </w:pPr>
    </w:p>
    <w:p>
      <w:pPr>
        <w:ind w:left="1184" w:hanging="644"/>
        <w:spacing w:after="0"/>
        <w:tabs>
          <w:tab w:leader="none" w:pos="1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requests before the Company has notice that the share certificate has been acquired by a protected purchaser;</w:t>
      </w:r>
    </w:p>
    <w:p>
      <w:pPr>
        <w:spacing w:after="0" w:line="131" w:lineRule="exact"/>
        <w:rPr>
          <w:sz w:val="20"/>
          <w:szCs w:val="20"/>
          <w:color w:val="auto"/>
        </w:rPr>
      </w:pPr>
    </w:p>
    <w:p>
      <w:pPr>
        <w:ind w:left="1184" w:right="320" w:hanging="644"/>
        <w:spacing w:after="0" w:line="282" w:lineRule="auto"/>
        <w:tabs>
          <w:tab w:leader="none" w:pos="1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Company with an indemnity bond sufficient in the Company’s judgment to protect the Company from any loss that the Company may suffer by issuing a new certificate;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Company.</w:t>
      </w:r>
    </w:p>
    <w:p>
      <w:pPr>
        <w:spacing w:after="0" w:line="225"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A person entitled to a share certificate may not assert against the Company a claim for a new share certificate where a share certificate has been lost, apparently destroyed or wrongfully taken if that person fails to notify the Company of that fact within a reasonable time after that person has notice of it and the Company registers a transfer of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4"/>
          </w:cols>
          <w:pgMar w:left="436" w:top="266" w:right="45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represented by the certificate before receiving a notice of the loss, apparent destruction or wrongful taking of the share certificate.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Recovery of New Share Certificate</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If, after the issue of a new share certificate, a protected purchaser of the original share certificate presents the original share certificate for the registration of transfer, then in addition to any rights on the indemnity bond, the Company may recover the new share certificate from a person to whom it was issued or any person taking under that person other than a protected purchaser.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Splitting Share Certificates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represented by the share certificate so surrendered, the Company must cancel the surrendered share certificate and issue replacement share certificates in accordance with that request.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Certificate Fee</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 xml:space="preserve">There must be paid to the Company, in relation to the issue of any share certificate under Articles 2.5, 2.6 or 2.8, the amount, if any and which must not exceed the amount prescribed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determined by the directors.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Recognition of Trusts</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spacing w:after="0" w:line="81" w:lineRule="exact"/>
        <w:rPr>
          <w:sz w:val="20"/>
          <w:szCs w:val="20"/>
          <w:color w:val="auto"/>
        </w:rPr>
      </w:pPr>
    </w:p>
    <w:p>
      <w:pPr>
        <w:jc w:val="both"/>
        <w:ind w:left="4" w:right="8840" w:hanging="4"/>
        <w:spacing w:after="0" w:line="384" w:lineRule="auto"/>
        <w:tabs>
          <w:tab w:leader="none" w:pos="54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3.1 Directors Authorized</w:t>
      </w:r>
    </w:p>
    <w:p>
      <w:pPr>
        <w:spacing w:after="0" w:line="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the rights, if any,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8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Commissions and Discounts</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Brokerage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may pay such brokerage fee or other consideration as may be lawful for or in connection with the sale or placement of its securities.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4"/>
          </w:cols>
          <w:pgMar w:left="436" w:top="270" w:right="459" w:bottom="1440" w:gutter="0" w:footer="0" w:header="0"/>
        </w:sectPr>
      </w:pPr>
    </w:p>
    <w:bookmarkStart w:id="18" w:name="page19"/>
    <w:bookmarkEnd w:id="1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w:t>
      </w:r>
      <w:r>
        <w:rPr>
          <w:sz w:val="20"/>
          <w:szCs w:val="20"/>
          <w:color w:val="auto"/>
        </w:rPr>
        <w:tab/>
      </w:r>
      <w:r>
        <w:rPr>
          <w:rFonts w:ascii="Times New Roman" w:cs="Times New Roman" w:eastAsia="Times New Roman" w:hAnsi="Times New Roman"/>
          <w:sz w:val="17"/>
          <w:szCs w:val="17"/>
          <w:b w:val="1"/>
          <w:bCs w:val="1"/>
          <w:color w:val="auto"/>
        </w:rPr>
        <w:t>Conditions of Issue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Except as provided for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no share may be issued until it is fully paid. A share is fully paid when:</w:t>
      </w:r>
    </w:p>
    <w:p>
      <w:pPr>
        <w:spacing w:after="0" w:line="133" w:lineRule="exact"/>
        <w:rPr>
          <w:sz w:val="20"/>
          <w:szCs w:val="20"/>
          <w:color w:val="auto"/>
        </w:rPr>
      </w:pPr>
    </w:p>
    <w:p>
      <w:pPr>
        <w:ind w:left="1184" w:hanging="644"/>
        <w:spacing w:after="0"/>
        <w:tabs>
          <w:tab w:leader="none" w:pos="1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is provided to the Company for the issue of the share by one or more of the following:</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services performed for the Company;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consideration received by the Company equals or exceeds the issue price set for the share under Article 3.1.</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Share Purchase Warrants and Rights</w:t>
      </w:r>
    </w:p>
    <w:p>
      <w:pPr>
        <w:spacing w:after="0" w:line="119" w:lineRule="exact"/>
        <w:rPr>
          <w:sz w:val="20"/>
          <w:szCs w:val="20"/>
          <w:color w:val="auto"/>
        </w:rPr>
      </w:pPr>
    </w:p>
    <w:p>
      <w:pPr>
        <w:ind w:left="4" w:right="180"/>
        <w:spacing w:after="0" w:line="267"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may issue share purchase warrants, options and rights upon such terms and conditions as the directors determine, which share purchase warrants, options and rights may be issued alone or in conjunction with debentures, debenture stock, bonds, shares or any other securities issued or created by the Company from time to time.</w:t>
      </w:r>
    </w:p>
    <w:p>
      <w:pPr>
        <w:spacing w:after="0" w:line="77" w:lineRule="exact"/>
        <w:rPr>
          <w:sz w:val="20"/>
          <w:szCs w:val="20"/>
          <w:color w:val="auto"/>
        </w:rPr>
      </w:pPr>
    </w:p>
    <w:p>
      <w:pPr>
        <w:ind w:left="544" w:hanging="544"/>
        <w:spacing w:after="0"/>
        <w:tabs>
          <w:tab w:leader="none" w:pos="54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REGISTERS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Central Securities Register</w:t>
      </w:r>
    </w:p>
    <w:p>
      <w:pPr>
        <w:spacing w:after="0" w:line="119"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 xml:space="preserve">As required by and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must maintain a central securities register. The directors may, subject to the </w:t>
      </w:r>
      <w:r>
        <w:rPr>
          <w:rFonts w:ascii="Times New Roman" w:cs="Times New Roman" w:eastAsia="Times New Roman" w:hAnsi="Times New Roman"/>
          <w:sz w:val="18"/>
          <w:szCs w:val="18"/>
          <w:i w:val="1"/>
          <w:iCs w:val="1"/>
          <w:color w:val="auto"/>
        </w:rPr>
        <w:t xml:space="preserve">Business Corporations Act, </w:t>
      </w:r>
      <w:r>
        <w:rPr>
          <w:rFonts w:ascii="Times New Roman" w:cs="Times New Roman" w:eastAsia="Times New Roman" w:hAnsi="Times New Roman"/>
          <w:sz w:val="18"/>
          <w:szCs w:val="18"/>
          <w:color w:val="auto"/>
        </w:rPr>
        <w:t>appoint an agent to maintain the central securities register. The directors may also appoint one or more agents,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8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Closing Register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must not at any time close its central securities register.</w:t>
      </w:r>
    </w:p>
    <w:p>
      <w:pPr>
        <w:spacing w:after="0" w:line="127" w:lineRule="exact"/>
        <w:rPr>
          <w:sz w:val="20"/>
          <w:szCs w:val="20"/>
          <w:color w:val="auto"/>
        </w:rPr>
      </w:pPr>
    </w:p>
    <w:p>
      <w:pPr>
        <w:ind w:left="4" w:right="8720" w:hanging="4"/>
        <w:spacing w:after="0" w:line="384" w:lineRule="auto"/>
        <w:tabs>
          <w:tab w:leader="none" w:pos="54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TRANSFERS 5.1 Registering Transfers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Securities Transfer Act,</w:t>
      </w:r>
      <w:r>
        <w:rPr>
          <w:rFonts w:ascii="Times New Roman" w:cs="Times New Roman" w:eastAsia="Times New Roman" w:hAnsi="Times New Roman"/>
          <w:sz w:val="18"/>
          <w:szCs w:val="18"/>
          <w:color w:val="auto"/>
        </w:rPr>
        <w:t xml:space="preserve"> a transfer of a share of the Company must not be registered unless the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or the transfer agent or registrar for the class or series of share to be transferred has received:</w:t>
      </w:r>
    </w:p>
    <w:p>
      <w:pPr>
        <w:spacing w:after="0" w:line="112" w:lineRule="exact"/>
        <w:rPr>
          <w:sz w:val="20"/>
          <w:szCs w:val="20"/>
          <w:color w:val="auto"/>
        </w:rPr>
      </w:pPr>
    </w:p>
    <w:p>
      <w:pPr>
        <w:ind w:left="1184" w:hanging="644"/>
        <w:spacing w:after="0" w:line="266" w:lineRule="auto"/>
        <w:tabs>
          <w:tab w:leader="none" w:pos="1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share certificate that has been issued by the Company in respect of the share to be transferred, that share certificate and a written instrument of transfer (which may be on a separate document or endorsed on the share certificate) made by the shareholder or other appropriate person or by an agent who has actual authority to act on behalf of that person;</w:t>
      </w:r>
    </w:p>
    <w:p>
      <w:pPr>
        <w:spacing w:after="0" w:line="81"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Acknowledgment, as defined in Article 2.3, in respect of the share to be transferred, a written instrument of transfer that directs that the transfer of the shares be registered,</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66" w:right="459" w:bottom="1440" w:gutter="0" w:footer="0" w:header="0"/>
        </w:sectPr>
      </w:pPr>
    </w:p>
    <w:bookmarkStart w:id="19" w:name="page20"/>
    <w:bookmarkEnd w:id="19"/>
    <w:p>
      <w:pPr>
        <w:ind w:left="1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by the shareholder or other appropriate person or by an agent who has actual authority to act on behalf of that person;</w:t>
      </w:r>
    </w:p>
    <w:p>
      <w:pPr>
        <w:spacing w:after="0" w:line="131" w:lineRule="exact"/>
        <w:rPr>
          <w:sz w:val="20"/>
          <w:szCs w:val="20"/>
          <w:color w:val="auto"/>
        </w:rPr>
      </w:pPr>
    </w:p>
    <w:p>
      <w:pPr>
        <w:ind w:left="1180" w:right="140" w:hanging="644"/>
        <w:spacing w:after="0" w:line="266"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share that is an uncertificated share, a written instrument of transfer that directs that the transfer of the share be registered, made by the shareholder or other appropriate person or by an agent who has actual authority to act on behalf of that person; and</w:t>
      </w:r>
    </w:p>
    <w:p>
      <w:pPr>
        <w:spacing w:after="0" w:line="81" w:lineRule="exact"/>
        <w:rPr>
          <w:rFonts w:ascii="Times New Roman" w:cs="Times New Roman" w:eastAsia="Times New Roman" w:hAnsi="Times New Roman"/>
          <w:sz w:val="18"/>
          <w:szCs w:val="18"/>
          <w:color w:val="auto"/>
        </w:rPr>
      </w:pPr>
    </w:p>
    <w:p>
      <w:pPr>
        <w:ind w:left="1180" w:hanging="644"/>
        <w:spacing w:after="0" w:line="266"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evidence, if any, as the Company or the transfer agent or registrar for the class or series of share to be transferred may require to prove the title of the transferor or the transferor’s right to transfer the share, that the written instrument of transfer is genuine and authorized and that the transfer is rightful or to a protected purchaser.</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Form of Instrument of Transfer</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instrument of transfer in respect of any share of the Company must be either in the form, if any, on the back of the Company’s share certificates or in any other form that may be approved by the directors or the transfer agent for the class or series of shares to be transferred.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Transferor Remains Shareholder</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Except to the extent that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otherwise provides, the transferor of shares is deemed to remain the holder of the shares until the name of the transferee is entered in a securities register of the Company in respect of the transfer.</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Signing of Instrument of Transfer</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Acknowledgment, as defined in Article 2.3, deposited with the instrument of transfer:</w:t>
      </w:r>
    </w:p>
    <w:p>
      <w:pPr>
        <w:spacing w:after="0" w:line="85" w:lineRule="exact"/>
        <w:rPr>
          <w:sz w:val="20"/>
          <w:szCs w:val="20"/>
          <w:color w:val="auto"/>
        </w:rPr>
      </w:pPr>
    </w:p>
    <w:p>
      <w:pPr>
        <w:ind w:left="1180" w:hanging="644"/>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the person named as transferee in that instrument of transfer; or</w:t>
      </w:r>
    </w:p>
    <w:p>
      <w:pPr>
        <w:spacing w:after="0" w:line="131" w:lineRule="exact"/>
        <w:rPr>
          <w:sz w:val="20"/>
          <w:szCs w:val="20"/>
          <w:color w:val="auto"/>
        </w:rPr>
      </w:pPr>
    </w:p>
    <w:p>
      <w:pPr>
        <w:ind w:left="1180" w:right="100" w:hanging="644"/>
        <w:spacing w:after="0" w:line="282"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person is named as transferee in that instrument of transfer, in the name of the person on whose behalf the instrument is deposited for the purpose of having the transfer registered.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Enquiry as to Title Not Required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any Acknowledgment, as defined in Article 2.3, in respect of a share certificate for such shares.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Transfer Fee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must be paid to the Company, in relation to the registration of any transfer, the amount, if any, determined by the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20" w:name="page21"/>
    <w:bookmarkEnd w:id="20"/>
    <w:p>
      <w:pPr>
        <w:ind w:left="544" w:hanging="544"/>
        <w:spacing w:after="0"/>
        <w:tabs>
          <w:tab w:leader="none" w:pos="54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TRANSMISSION OF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Legal Personal Representative Recognized on Death</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the case of the death of a shareholder, the legal personal representative of the shareholder, or in the case of shares registered in the shareholder’s name and the name of another person in joint tenancy, the surviving joint holder, will be the only person recognized by the Company as having any title to the shareholder’s interest in the shares. Before recognizing a person as a legal personal representative of a shareholder, the directors may require the original grant of probate or letters of administration or a court certified copy of them or the original or a court certified or authenticated copy of the grant of representation, will, order or other instrument or other evidence of the death under which title to the shares or securities is claimed to vest.</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Rights of Legal Personal Representative</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The legal personal representative of a shareholder has the same rights, privileges and obligations that attach to the shares held by the shareholder, including the right to transfer the shares in accordance with these Articles, if appropriate evidence of appointment or incumbency within the meaning of s. 87 of the </w:t>
      </w:r>
      <w:r>
        <w:rPr>
          <w:rFonts w:ascii="Times New Roman" w:cs="Times New Roman" w:eastAsia="Times New Roman" w:hAnsi="Times New Roman"/>
          <w:sz w:val="18"/>
          <w:szCs w:val="18"/>
          <w:i w:val="1"/>
          <w:iCs w:val="1"/>
          <w:color w:val="auto"/>
        </w:rPr>
        <w:t>Securities Transfer Act</w:t>
      </w:r>
      <w:r>
        <w:rPr>
          <w:rFonts w:ascii="Times New Roman" w:cs="Times New Roman" w:eastAsia="Times New Roman" w:hAnsi="Times New Roman"/>
          <w:sz w:val="18"/>
          <w:szCs w:val="18"/>
          <w:color w:val="auto"/>
        </w:rPr>
        <w:t xml:space="preserve"> has been deposited with the Company. This Article 6.2 does not apply in the case of the death of a shareholder with respect to shares registered in the shareholder’s name and the name of another person in joint tenancy.</w:t>
      </w:r>
    </w:p>
    <w:p>
      <w:pPr>
        <w:spacing w:after="0" w:line="81" w:lineRule="exact"/>
        <w:rPr>
          <w:sz w:val="20"/>
          <w:szCs w:val="20"/>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COMPANY’S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Company Authorized to Purchase or Otherwise Acquire Shares</w:t>
      </w:r>
    </w:p>
    <w:p>
      <w:pPr>
        <w:spacing w:after="0" w:line="119" w:lineRule="exact"/>
        <w:rPr>
          <w:sz w:val="20"/>
          <w:szCs w:val="20"/>
          <w:color w:val="auto"/>
        </w:rPr>
      </w:pPr>
    </w:p>
    <w:p>
      <w:pPr>
        <w:ind w:left="4" w:right="20"/>
        <w:spacing w:after="0" w:line="315" w:lineRule="auto"/>
        <w:rPr>
          <w:sz w:val="20"/>
          <w:szCs w:val="20"/>
          <w:color w:val="auto"/>
        </w:rPr>
      </w:pPr>
      <w:r>
        <w:rPr>
          <w:rFonts w:ascii="Times New Roman" w:cs="Times New Roman" w:eastAsia="Times New Roman" w:hAnsi="Times New Roman"/>
          <w:sz w:val="17"/>
          <w:szCs w:val="17"/>
          <w:color w:val="auto"/>
        </w:rPr>
        <w:t xml:space="preserve">Subject to Article 7.2, the special rights or restrictions attached to the shares of any class or series of shares and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the Company may, if authorized by the directors, purchase or otherwise acquire any of its shares at the price and upon the terms determined by the directors.</w:t>
      </w:r>
    </w:p>
    <w:p>
      <w:pPr>
        <w:spacing w:after="0" w:line="3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No Purchase, Redemption or Other Acquisition When Insolvent</w:t>
      </w:r>
    </w:p>
    <w:p>
      <w:pPr>
        <w:spacing w:after="0" w:line="121"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The Company must not make a payment or provide any other consideration to purchase, redeem or otherwise acquire any of its shares if there are reasonable grounds for believing that:</w:t>
      </w:r>
    </w:p>
    <w:p>
      <w:pPr>
        <w:spacing w:after="0" w:line="67" w:lineRule="exact"/>
        <w:rPr>
          <w:sz w:val="20"/>
          <w:szCs w:val="20"/>
          <w:color w:val="auto"/>
        </w:rPr>
      </w:pPr>
    </w:p>
    <w:p>
      <w:pPr>
        <w:ind w:left="1184" w:hanging="644"/>
        <w:spacing w:after="0"/>
        <w:tabs>
          <w:tab w:leader="none" w:pos="1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insolvent;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payment or providing the consideration would render the Company insolvent.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Sale and Voting of Purchased, Redeemed or Otherwise Acquired Shares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If the Company retains a share redeemed, purchased or otherwise acquired by it, the Company may sell, gift or otherwise dispose of the share, but, while such share is held by the Company, it:</w:t>
      </w:r>
    </w:p>
    <w:p>
      <w:pPr>
        <w:spacing w:after="0" w:line="67" w:lineRule="exact"/>
        <w:rPr>
          <w:sz w:val="20"/>
          <w:szCs w:val="20"/>
          <w:color w:val="auto"/>
        </w:rPr>
      </w:pPr>
    </w:p>
    <w:p>
      <w:pPr>
        <w:ind w:left="1184" w:hanging="644"/>
        <w:spacing w:after="0"/>
        <w:tabs>
          <w:tab w:leader="none" w:pos="11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entitled to vote the share at a meeting of its shareholders;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pay a dividend in respect of the share;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make any other distribution in respect of the share.</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POWERS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if authorized by the directors, may:</w:t>
      </w:r>
    </w:p>
    <w:p>
      <w:pPr>
        <w:spacing w:after="0" w:line="131" w:lineRule="exact"/>
        <w:rPr>
          <w:sz w:val="20"/>
          <w:szCs w:val="20"/>
          <w:color w:val="auto"/>
        </w:rPr>
      </w:pPr>
    </w:p>
    <w:p>
      <w:pPr>
        <w:ind w:left="1184" w:right="160" w:hanging="644"/>
        <w:spacing w:after="0" w:line="282" w:lineRule="auto"/>
        <w:tabs>
          <w:tab w:leader="none" w:pos="1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in the manner and amount, on the security, from the sources and on the terms and conditions that the directors consider appropriate;</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004"/>
          </w:cols>
          <w:pgMar w:left="436" w:top="266" w:right="459" w:bottom="1440" w:gutter="0" w:footer="0" w:header="0"/>
        </w:sectPr>
      </w:pPr>
    </w:p>
    <w:bookmarkStart w:id="21" w:name="page22"/>
    <w:bookmarkEnd w:id="21"/>
    <w:p>
      <w:pPr>
        <w:ind w:left="1184" w:right="180" w:hanging="644"/>
        <w:spacing w:after="0" w:line="282" w:lineRule="auto"/>
        <w:tabs>
          <w:tab w:leader="none" w:pos="11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bonds, debentures and other debt obligations either outright or as security for any liability or obligation of the Company or any other person and at such discounts or premiums and on such other terms as the directors consider appropriate;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the repayment of money by any other person or the performance of any obligation of any other person; and</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Alteration of Authorized Share Structure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Subject to Article 9.2 and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may:</w:t>
      </w:r>
    </w:p>
    <w:p>
      <w:pPr>
        <w:spacing w:after="0" w:line="133" w:lineRule="exact"/>
        <w:rPr>
          <w:sz w:val="20"/>
          <w:szCs w:val="20"/>
          <w:color w:val="auto"/>
        </w:rPr>
      </w:pPr>
    </w:p>
    <w:p>
      <w:pPr>
        <w:ind w:left="1184" w:hanging="644"/>
        <w:spacing w:after="0"/>
        <w:tabs>
          <w:tab w:leader="none" w:pos="1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directors’ resolution: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consolidate all or any of its unissued, or fully paid issued, shares; or</w:t>
      </w:r>
    </w:p>
    <w:p>
      <w:pPr>
        <w:spacing w:after="0" w:line="130" w:lineRule="exact"/>
        <w:rPr>
          <w:rFonts w:ascii="Times New Roman" w:cs="Times New Roman" w:eastAsia="Times New Roman" w:hAnsi="Times New Roman"/>
          <w:sz w:val="18"/>
          <w:szCs w:val="18"/>
          <w:color w:val="auto"/>
        </w:rPr>
      </w:pPr>
    </w:p>
    <w:p>
      <w:pPr>
        <w:jc w:val="both"/>
        <w:ind w:left="1744" w:right="60" w:hanging="543"/>
        <w:spacing w:after="0" w:line="266" w:lineRule="auto"/>
        <w:tabs>
          <w:tab w:leader="none" w:pos="17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68"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and, if applicable, alter its Articles and Notice of Articles accordingly; or</w:t>
      </w:r>
    </w:p>
    <w:p>
      <w:pPr>
        <w:spacing w:after="0" w:line="131" w:lineRule="exact"/>
        <w:rPr>
          <w:sz w:val="20"/>
          <w:szCs w:val="20"/>
          <w:color w:val="auto"/>
        </w:rPr>
      </w:pPr>
    </w:p>
    <w:p>
      <w:pPr>
        <w:ind w:left="1184" w:hanging="644"/>
        <w:spacing w:after="0"/>
        <w:tabs>
          <w:tab w:leader="none" w:pos="1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ordinary resolution:</w:t>
      </w:r>
    </w:p>
    <w:p>
      <w:pPr>
        <w:spacing w:after="0" w:line="130" w:lineRule="exact"/>
        <w:rPr>
          <w:rFonts w:ascii="Times New Roman" w:cs="Times New Roman" w:eastAsia="Times New Roman" w:hAnsi="Times New Roman"/>
          <w:sz w:val="18"/>
          <w:szCs w:val="18"/>
          <w:color w:val="auto"/>
        </w:rPr>
      </w:pPr>
    </w:p>
    <w:p>
      <w:pPr>
        <w:ind w:left="1744" w:right="560" w:hanging="543"/>
        <w:spacing w:after="0" w:line="282" w:lineRule="auto"/>
        <w:tabs>
          <w:tab w:leader="none" w:pos="1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one or more classes or series of shares or, if none of the shares of a class or series of shares are allotted or issued, eliminate that class or series of shares;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authorized to issue shares of a class of shares with par value:</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par value of those shares;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shares of that class of shares are allotted or issued, increase the par value of those shares;</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and, if applicable, alter its Articles and Notice of Articles accordingly; or</w:t>
      </w:r>
    </w:p>
    <w:p>
      <w:pPr>
        <w:spacing w:after="0" w:line="131" w:lineRule="exact"/>
        <w:rPr>
          <w:sz w:val="20"/>
          <w:szCs w:val="20"/>
          <w:color w:val="auto"/>
        </w:rPr>
      </w:pPr>
    </w:p>
    <w:p>
      <w:pPr>
        <w:ind w:left="1184" w:hanging="644"/>
        <w:spacing w:after="0"/>
        <w:tabs>
          <w:tab w:leader="none" w:pos="1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w:t>
      </w:r>
    </w:p>
    <w:p>
      <w:pPr>
        <w:spacing w:after="0" w:line="130" w:lineRule="exact"/>
        <w:rPr>
          <w:rFonts w:ascii="Times New Roman" w:cs="Times New Roman" w:eastAsia="Times New Roman" w:hAnsi="Times New Roman"/>
          <w:sz w:val="18"/>
          <w:szCs w:val="18"/>
          <w:color w:val="auto"/>
        </w:rPr>
      </w:pPr>
    </w:p>
    <w:p>
      <w:pPr>
        <w:ind w:left="1744" w:right="40" w:hanging="543"/>
        <w:spacing w:after="0" w:line="282" w:lineRule="auto"/>
        <w:tabs>
          <w:tab w:leader="none" w:pos="17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all or any of its unissued, or fully paid issued, shares with par value into shares without par value or any of its unissued shares without par value into shares with par value;</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identifying name of any of its shares; or</w:t>
      </w:r>
    </w:p>
    <w:p>
      <w:pPr>
        <w:spacing w:after="0" w:line="12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alter its shares or authorized share structure when required or permitted to do so by the </w:t>
      </w:r>
      <w:r>
        <w:rPr>
          <w:rFonts w:ascii="Times New Roman" w:cs="Times New Roman" w:eastAsia="Times New Roman" w:hAnsi="Times New Roman"/>
          <w:sz w:val="18"/>
          <w:szCs w:val="18"/>
          <w:i w:val="1"/>
          <w:iCs w:val="1"/>
          <w:color w:val="auto"/>
        </w:rPr>
        <w:t>Business Corporations Act;</w:t>
      </w:r>
    </w:p>
    <w:p>
      <w:pPr>
        <w:spacing w:after="0" w:line="11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and, if applicable, alter its Articles and Notice of Articles accordingly.</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04"/>
          </w:cols>
          <w:pgMar w:left="436" w:top="270" w:right="559" w:bottom="1440" w:gutter="0" w:footer="0" w:header="0"/>
        </w:sectPr>
      </w:pPr>
    </w:p>
    <w:bookmarkStart w:id="22" w:name="page23"/>
    <w:bookmarkEnd w:id="2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7"/>
          <w:szCs w:val="17"/>
          <w:b w:val="1"/>
          <w:bCs w:val="1"/>
          <w:color w:val="auto"/>
        </w:rPr>
        <w:t>Special Rights or Restrictions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may by special resolution:</w:t>
      </w:r>
    </w:p>
    <w:p>
      <w:pPr>
        <w:spacing w:after="0" w:line="133" w:lineRule="exact"/>
        <w:rPr>
          <w:sz w:val="20"/>
          <w:szCs w:val="20"/>
          <w:color w:val="auto"/>
        </w:rPr>
      </w:pPr>
    </w:p>
    <w:p>
      <w:pPr>
        <w:ind w:left="1184" w:right="540" w:hanging="644"/>
        <w:spacing w:after="0" w:line="282" w:lineRule="auto"/>
        <w:tabs>
          <w:tab w:leader="none" w:pos="1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special rights or restrictions for, and attach those special rights or restrictions to, the shares of any class or series of shares, whether or not any or all of those shares have been issued; or</w:t>
      </w:r>
    </w:p>
    <w:p>
      <w:pPr>
        <w:spacing w:after="0" w:line="67" w:lineRule="exact"/>
        <w:rPr>
          <w:sz w:val="20"/>
          <w:szCs w:val="20"/>
          <w:color w:val="auto"/>
        </w:rPr>
      </w:pPr>
    </w:p>
    <w:p>
      <w:pPr>
        <w:ind w:left="1184" w:right="180" w:hanging="644"/>
        <w:spacing w:after="0" w:line="282" w:lineRule="auto"/>
        <w:tabs>
          <w:tab w:leader="none" w:pos="1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or delete any special rights or restrictions attached to the shares of any class or series of shares, whether or not any or all of those shares have been issued;</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applicable, alter its Articles and Notice of Articles accordingly.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Change of Name</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Company may by resolution of the directors authorize an alteration to its Notice of Articles in order to change its name and may adopt or change any translation of that name.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Other Alterations</w:t>
      </w:r>
    </w:p>
    <w:p>
      <w:pPr>
        <w:spacing w:after="0" w:line="119" w:lineRule="exact"/>
        <w:rPr>
          <w:sz w:val="20"/>
          <w:szCs w:val="20"/>
          <w:color w:val="auto"/>
        </w:rPr>
      </w:pPr>
    </w:p>
    <w:p>
      <w:pPr>
        <w:ind w:left="4" w:right="140"/>
        <w:spacing w:after="0" w:line="284" w:lineRule="auto"/>
        <w:rPr>
          <w:sz w:val="20"/>
          <w:szCs w:val="20"/>
          <w:color w:val="auto"/>
        </w:rPr>
      </w:pPr>
      <w:r>
        <w:rPr>
          <w:rFonts w:ascii="Times New Roman" w:cs="Times New Roman" w:eastAsia="Times New Roman" w:hAnsi="Times New Roman"/>
          <w:sz w:val="18"/>
          <w:szCs w:val="18"/>
          <w:color w:val="auto"/>
        </w:rPr>
        <w:t xml:space="preserve">If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does not specify the type of resolution and these Articles do not specify another type of resolution, the Company may by special resolution alter these Articles.</w:t>
      </w:r>
    </w:p>
    <w:p>
      <w:pPr>
        <w:spacing w:after="0" w:line="62" w:lineRule="exact"/>
        <w:rPr>
          <w:sz w:val="20"/>
          <w:szCs w:val="20"/>
          <w:color w:val="auto"/>
        </w:rPr>
      </w:pPr>
    </w:p>
    <w:p>
      <w:pPr>
        <w:ind w:left="4" w:right="7660" w:hanging="4"/>
        <w:spacing w:after="0" w:line="407" w:lineRule="auto"/>
        <w:tabs>
          <w:tab w:leader="none" w:pos="544"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SHAREHOLDERS 10.1 Annual General Meetings</w:t>
      </w: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Unless an annual general meeting is deferred or waived in accordance with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as may be determined by the directors.</w:t>
      </w:r>
    </w:p>
    <w:p>
      <w:pPr>
        <w:spacing w:after="0" w:line="8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Resolution Instead of Annual General Meeting</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all the shareholders who are entitled to vote at an annual general meeting consent by a unanimous resolution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spacing w:after="0" w:line="32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Calling of Meetings of Shareholders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 may, at any time, call a meeting of shareholders to be held at such time and place as may be determined by the directors.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Notice for Meetings of Shareholders</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The Company must send notice of the date, time and location of any meeting of shareholders (including, without limitation, any notice specifying the intention to propose a special resolution or a special separate resolution and any notice to consider approving an amalgamation into a foreign jurisdiction, an arrangement or the adoption of an amalgamation agreement, and any notice of a general meeting, class meeting or series meeting),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4"/>
          </w:cols>
          <w:pgMar w:left="436" w:top="266" w:right="459" w:bottom="1440" w:gutter="0" w:footer="0" w:header="0"/>
        </w:sectPr>
      </w:pPr>
    </w:p>
    <w:bookmarkStart w:id="23" w:name="page24"/>
    <w:bookmarkEnd w:id="23"/>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and for so long as the Company is a public company, 21 days;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10 days.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b w:val="1"/>
          <w:bCs w:val="1"/>
          <w:color w:val="auto"/>
        </w:rPr>
        <w:t>Notice of Resolution to Which Shareholders May Dissent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must send to each of its shareholders, whether or not their shares carry the right to vote, a notice of any meeting of 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spacing w:after="0" w:line="81" w:lineRule="exact"/>
        <w:rPr>
          <w:sz w:val="20"/>
          <w:szCs w:val="20"/>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Company is a public company, 21 days;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10 days.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Record Date for Notice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by more than four months. The record date must not precede the date on which the meeting is held by fewer than:</w:t>
      </w:r>
    </w:p>
    <w:p>
      <w:pPr>
        <w:spacing w:after="0" w:line="85" w:lineRule="exact"/>
        <w:rPr>
          <w:sz w:val="20"/>
          <w:szCs w:val="20"/>
          <w:color w:val="auto"/>
        </w:rPr>
      </w:pPr>
    </w:p>
    <w:p>
      <w:pPr>
        <w:ind w:left="1180" w:hanging="644"/>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Company is a public company, 21 days;</w:t>
      </w:r>
    </w:p>
    <w:p>
      <w:pPr>
        <w:spacing w:after="0" w:line="131" w:lineRule="exact"/>
        <w:rPr>
          <w:sz w:val="20"/>
          <w:szCs w:val="20"/>
          <w:color w:val="auto"/>
        </w:rPr>
      </w:pPr>
    </w:p>
    <w:p>
      <w:pPr>
        <w:ind w:left="1180" w:hanging="644"/>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10 days.</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no record date is set, the record date is 5 p.m. on the day immediately preceding the first date on which the notice is sent or, if no notice is sent, the beginning of the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7"/>
          <w:szCs w:val="17"/>
          <w:b w:val="1"/>
          <w:bCs w:val="1"/>
          <w:color w:val="auto"/>
        </w:rPr>
        <w:t>Record Date for Voting</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by more than four months. If no record date is set, the record date is 5 p.m. on the day immediately preceding the first date on which the notice is sent or, if no notice is sent, the beginning of the meeting.</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b w:val="1"/>
          <w:bCs w:val="1"/>
          <w:color w:val="auto"/>
        </w:rPr>
        <w:t>Failure to Give Notice and Waiver of Notice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that entitlement or agree to reduce the period of that notice. Attendance of a person at a meeting of shareholders is a waiver of entitlement to notice of the meeting unless that person attends the meeting for the express purpose of objecting to the transaction of any business on the grounds that the meeting is not lawfully called.</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7"/>
          <w:szCs w:val="17"/>
          <w:b w:val="1"/>
          <w:bCs w:val="1"/>
          <w:color w:val="auto"/>
        </w:rPr>
        <w:t>Notice of Special Business at Meetings of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meeting of shareholders is to consider special business within the meaning of Article 11.1, the notice of meeting must:</w:t>
      </w:r>
    </w:p>
    <w:p>
      <w:pPr>
        <w:spacing w:after="0" w:line="131" w:lineRule="exact"/>
        <w:rPr>
          <w:sz w:val="20"/>
          <w:szCs w:val="20"/>
          <w:color w:val="auto"/>
        </w:rPr>
      </w:pPr>
    </w:p>
    <w:p>
      <w:pPr>
        <w:ind w:left="1740" w:hanging="543"/>
        <w:spacing w:after="0"/>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general nature of the special business; and</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24" w:name="page25"/>
    <w:bookmarkEnd w:id="24"/>
    <w:p>
      <w:pPr>
        <w:ind w:left="1184" w:right="120" w:hanging="644"/>
        <w:spacing w:after="0" w:line="266" w:lineRule="auto"/>
        <w:tabs>
          <w:tab w:leader="none" w:pos="11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81" w:lineRule="exact"/>
        <w:rPr>
          <w:rFonts w:ascii="Times New Roman" w:cs="Times New Roman" w:eastAsia="Times New Roman" w:hAnsi="Times New Roman"/>
          <w:sz w:val="18"/>
          <w:szCs w:val="18"/>
          <w:color w:val="auto"/>
        </w:rPr>
      </w:pPr>
    </w:p>
    <w:p>
      <w:pPr>
        <w:ind w:left="1744" w:hanging="543"/>
        <w:spacing w:after="0" w:line="282" w:lineRule="auto"/>
        <w:tabs>
          <w:tab w:leader="none" w:pos="17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records office, or at such other reasonably accessible location in British Columbia as is specified in the notice; and</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statutory business hours on any one or more specified days before the day set for the holding of the meeting.</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SHAREHOLDERS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11.1</w:t>
        <w:tab/>
        <w:t>Special Business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a meeting of shareholders, the following business is special business:</w:t>
      </w:r>
    </w:p>
    <w:p>
      <w:pPr>
        <w:spacing w:after="0" w:line="131" w:lineRule="exact"/>
        <w:rPr>
          <w:sz w:val="20"/>
          <w:szCs w:val="20"/>
          <w:color w:val="auto"/>
        </w:rPr>
      </w:pPr>
    </w:p>
    <w:p>
      <w:pPr>
        <w:ind w:left="1184" w:right="580" w:hanging="644"/>
        <w:spacing w:after="0" w:line="282" w:lineRule="auto"/>
        <w:tabs>
          <w:tab w:leader="none" w:pos="1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of shareholders that is not an annual general meeting, all business is special business except business relating to the conduct of or voting at the meeting;</w:t>
      </w:r>
    </w:p>
    <w:p>
      <w:pPr>
        <w:spacing w:after="0" w:line="67" w:lineRule="exact"/>
        <w:rPr>
          <w:sz w:val="20"/>
          <w:szCs w:val="20"/>
          <w:color w:val="auto"/>
        </w:rPr>
      </w:pPr>
    </w:p>
    <w:p>
      <w:pPr>
        <w:ind w:left="1184" w:hanging="644"/>
        <w:spacing w:after="0"/>
        <w:tabs>
          <w:tab w:leader="none" w:pos="1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general meeting, all business is special business except for the following:</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relating to the conduct of or voting at the meeting;</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any financial statements of the Company presented to the meeting;</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any reports of the directors or auditor;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or changing of the number of directors;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or appointment of directors;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auditor;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of the remuneration of an auditor;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arising out of a report of the directors not requiring the passing of a special resolution or an exceptional resolution;</w:t>
      </w:r>
    </w:p>
    <w:p>
      <w:pPr>
        <w:spacing w:after="0" w:line="128" w:lineRule="exact"/>
        <w:rPr>
          <w:rFonts w:ascii="Times New Roman" w:cs="Times New Roman" w:eastAsia="Times New Roman" w:hAnsi="Times New Roman"/>
          <w:sz w:val="18"/>
          <w:szCs w:val="18"/>
          <w:color w:val="auto"/>
        </w:rPr>
      </w:pPr>
    </w:p>
    <w:p>
      <w:pPr>
        <w:ind w:left="1744" w:hanging="543"/>
        <w:spacing w:after="0" w:line="284" w:lineRule="auto"/>
        <w:tabs>
          <w:tab w:leader="none" w:pos="1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business which, under these Articles or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may be transacted at a meeting of shareholders without prior notice of the business being given to the shareholders.</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Special Majority</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majority of votes required for the Company to pass a special resolution at a general meeting of shareholders is two-thirds of the votes cast on the resolution.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Quorum</w:t>
      </w:r>
    </w:p>
    <w:p>
      <w:pPr>
        <w:spacing w:after="0" w:line="121" w:lineRule="exact"/>
        <w:rPr>
          <w:sz w:val="20"/>
          <w:szCs w:val="20"/>
          <w:color w:val="auto"/>
        </w:rPr>
      </w:pPr>
    </w:p>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t>Subject to the special rights or restrictions attached to the shares of any class or series of shares and to Article 11.4, the quorum for the transaction of business at a meeting of shareholders is two persons who are, or who represent by proxy, shareholders who, in the aggregate, hold at least 5% of the issued shares entitled to be voted at the meeting.</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984"/>
          </w:cols>
          <w:pgMar w:left="436" w:top="270" w:right="479" w:bottom="1440" w:gutter="0" w:footer="0" w:header="0"/>
        </w:sectPr>
      </w:pPr>
    </w:p>
    <w:bookmarkStart w:id="25" w:name="page26"/>
    <w:bookmarkEnd w:id="2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w:t>
      </w:r>
      <w:r>
        <w:rPr>
          <w:sz w:val="20"/>
          <w:szCs w:val="20"/>
          <w:color w:val="auto"/>
        </w:rPr>
        <w:tab/>
      </w:r>
      <w:r>
        <w:rPr>
          <w:rFonts w:ascii="Times New Roman" w:cs="Times New Roman" w:eastAsia="Times New Roman" w:hAnsi="Times New Roman"/>
          <w:sz w:val="17"/>
          <w:szCs w:val="17"/>
          <w:b w:val="1"/>
          <w:bCs w:val="1"/>
          <w:color w:val="auto"/>
        </w:rPr>
        <w:t>One Shareholder May Constitute Quorum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there is only one shareholder entitled to vote at a meeting of shareholders:</w:t>
      </w:r>
    </w:p>
    <w:p>
      <w:pPr>
        <w:spacing w:after="0" w:line="131" w:lineRule="exact"/>
        <w:rPr>
          <w:sz w:val="20"/>
          <w:szCs w:val="20"/>
          <w:color w:val="auto"/>
        </w:rPr>
      </w:pPr>
    </w:p>
    <w:p>
      <w:pPr>
        <w:ind w:left="1184" w:hanging="644"/>
        <w:spacing w:after="0"/>
        <w:tabs>
          <w:tab w:leader="none" w:pos="1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is one person who is, or who represents by proxy, that shareholder, and</w:t>
      </w:r>
    </w:p>
    <w:p>
      <w:pPr>
        <w:spacing w:after="0" w:line="131" w:lineRule="exact"/>
        <w:rPr>
          <w:sz w:val="20"/>
          <w:szCs w:val="20"/>
          <w:color w:val="auto"/>
        </w:rPr>
      </w:pPr>
    </w:p>
    <w:p>
      <w:pPr>
        <w:ind w:left="1184" w:hanging="644"/>
        <w:spacing w:after="0"/>
        <w:tabs>
          <w:tab w:leader="none" w:pos="1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shareholder, present in person or by proxy, may constitute the meeting.</w:t>
      </w:r>
    </w:p>
    <w:p>
      <w:pPr>
        <w:spacing w:after="0" w:line="370"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 Persons Entitled to Attend Meeting</w:t>
      </w:r>
    </w:p>
    <w:p>
      <w:pPr>
        <w:spacing w:after="0" w:line="121"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those persons who are entitled to vote at a meeting of shareholders, the only other persons entitled to be present at the meeting are the directors, the president (if any), the secretary (if any), the assistant secretary (if any), any lawyer for the Company, the auditor of the Company, any persons invited to be present at the meeting by the directors or by the chair of the meeting and any persons entitled or required under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or these Articles to be present at the meeting; but if any of those persons does attend the meeting, that person is not to be counted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quorum and is not entitled to vote at the meeting unless that person is a shareholder or proxy holder entitled to vote at the meeting.</w:t>
      </w:r>
    </w:p>
    <w:p>
      <w:pPr>
        <w:spacing w:after="0" w:line="32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b w:val="1"/>
          <w:bCs w:val="1"/>
          <w:color w:val="auto"/>
        </w:rPr>
        <w:t>Requirement of Quorum</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spacing w:after="0" w:line="320" w:lineRule="exact"/>
        <w:rPr>
          <w:sz w:val="20"/>
          <w:szCs w:val="20"/>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7 Lack of Quorum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within one-half hour from the time set for the holding of a meeting of shareholders, a quorum is not present:</w:t>
      </w:r>
    </w:p>
    <w:p>
      <w:pPr>
        <w:spacing w:after="0" w:line="131" w:lineRule="exact"/>
        <w:rPr>
          <w:sz w:val="20"/>
          <w:szCs w:val="20"/>
          <w:color w:val="auto"/>
        </w:rPr>
      </w:pPr>
    </w:p>
    <w:p>
      <w:pPr>
        <w:ind w:left="1184" w:hanging="644"/>
        <w:spacing w:after="0"/>
        <w:tabs>
          <w:tab w:leader="none" w:pos="1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meeting requisitioned by shareholders, the meeting is dissolved, and</w:t>
      </w:r>
    </w:p>
    <w:p>
      <w:pPr>
        <w:spacing w:after="0" w:line="130"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meeting of shareholders, the meeting stands adjourned to the same day in the next week at the same time and place.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color w:val="auto"/>
        </w:rPr>
        <w:t>Lack of Quorum at Succeeding Meeting</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If, at the meeting to which the meeting referred to in Article 11.7(2) was adjourned, a quorum is not present within one-half hour from the time set for the holding of the meeting, the person or persons present and being, or representing by proxy, one or more shareholders entitled to attend and vote at the meeting constitute a quorum.</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b w:val="1"/>
          <w:bCs w:val="1"/>
          <w:color w:val="auto"/>
        </w:rPr>
        <w:t>Chair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individual is entitled to preside as chair at a meeting of shareholders:</w:t>
      </w:r>
    </w:p>
    <w:p>
      <w:pPr>
        <w:spacing w:after="0" w:line="131" w:lineRule="exact"/>
        <w:rPr>
          <w:sz w:val="20"/>
          <w:szCs w:val="20"/>
          <w:color w:val="auto"/>
        </w:rPr>
      </w:pPr>
    </w:p>
    <w:p>
      <w:pPr>
        <w:ind w:left="1184" w:hanging="644"/>
        <w:spacing w:after="0"/>
        <w:tabs>
          <w:tab w:leader="none" w:pos="1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board, if any;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the board is absent or unwilling to act as chair of the meeting, the president, if any.</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11.10  Selection of Alternate Chair</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If, at any meeting of shareholders, there is no chair of the board or president present within 15 minutes after the time set for 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must choose one of their number to be chair of the meeting or if all of the directors present decline to take the chair or fail to so choose or if no director is</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0964"/>
          </w:cols>
          <w:pgMar w:left="436" w:top="266" w:right="49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present, the shareholders entitled to vote at the meeting who are present in person or by proxy may choose any person present at the meeting to chair the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11.11</w:t>
        <w:tab/>
        <w:t>Adjournments</w:t>
      </w:r>
    </w:p>
    <w:p>
      <w:pPr>
        <w:spacing w:after="0" w:line="121"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11.12  Notice of Adjourned Meeting</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It is not necessary to give any notice of an adjourned meeting of shareholders or of the business to be transacted at an adjourned meeting of shareholders except that, when a meeting is adjourned for 30 days or more, notice of the adjourned meeting must be given as in the case of the original meeting.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11.13  Decisions by Show of Hands or Poll</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every motion put to a vote at a meeting of shareholders will be decided on a show of hands unless a poll, before or on the declaration of the result of the vote by show of hands, is directed by the chair or demanded by any shareholder entitled to vote who is present in person or by proxy.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11.14  Declaration of Result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11.13, conclusive evidence without proof of the number or proportion of the votes recorded in favour of or against the resolution.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11.15  Motion Need Not be Seconded</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 motion proposed at a meeting of shareholders need be seconded unless the chair of the meeting rules otherwise, and the chair of any meeting of shareholders is entitled to propose or second a motion.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11.16  Casting Vote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case of an equality of votes, the chair of a meeting of shareholders does not, either on a show of hands or on a poll, have a second or casting vote in addition to the vote or votes to which the chair may be entitled as a shareholder.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11.17  Manner of Taking Poll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Article 11.18, if a poll is duly demanded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of shareholders:</w:t>
      </w:r>
    </w:p>
    <w:p>
      <w:pPr>
        <w:spacing w:after="0" w:line="112" w:lineRule="exact"/>
        <w:rPr>
          <w:sz w:val="20"/>
          <w:szCs w:val="20"/>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 must be taken:</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or within seven days after the date of the meeting, as the chair of the meeting directs;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manner, at the time and at the place that the chair of the meeting directs;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poll is deemed to be the decision of the meeting at which the poll is demanded;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the poll may be withdrawn by the person who demanded it.</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80"/>
          </w:cols>
          <w:pgMar w:left="440" w:top="270" w:right="47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11.18  Demand for Poll on Adjournment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poll demanded at a meeting of shareholders on a question of adjournment must be taken immediately at the meeting.</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11.19  Chair Must Resolve Dispute</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In the case of any dispute as to the admission or rejection of a vote given on a poll, the chair of the meeting must determine the dispute, and his or her determination made in good faith is final and conclusive.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11.20  Casting of Votes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a poll, a shareholder entitled to more than one vote need not cast all the votes in the same way.</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11.21  No Demand for Poll on Election of Chair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poll may be demanded in respect of the vote by which a chair of a meeting of shareholders is elected.</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11.22  Demand for Poll Not to Prevent Continuance of Meeting</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demand for a poll at a meeting of shareholders does not, unless the chair of the meeting so rules, prevent the continuation of the meeting for the transaction of any business other than the question on which a poll has been demanded.</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11.23  Retention of Ballots and Proxies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 must, for at least three months after a meeting of shareholders, keep each ballot cast on a poll and each proxy voted at the meeting, and, during that period, make them available for inspection during normal business hours by any shareholder or proxyholder entitled to vote at the meeting. At the end of such three month period, the Company may destroy such ballots and proxies.</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11.24  Ordinary Resolution</w:t>
      </w:r>
    </w:p>
    <w:p>
      <w:pPr>
        <w:spacing w:after="0" w:line="119" w:lineRule="exact"/>
        <w:rPr>
          <w:sz w:val="20"/>
          <w:szCs w:val="20"/>
          <w:color w:val="auto"/>
        </w:rPr>
      </w:pPr>
    </w:p>
    <w:p>
      <w:pPr>
        <w:jc w:val="both"/>
        <w:ind w:left="4" w:right="20"/>
        <w:spacing w:after="0" w:line="284" w:lineRule="auto"/>
        <w:rPr>
          <w:sz w:val="20"/>
          <w:szCs w:val="20"/>
          <w:color w:val="auto"/>
        </w:rPr>
      </w:pPr>
      <w:r>
        <w:rPr>
          <w:rFonts w:ascii="Times New Roman" w:cs="Times New Roman" w:eastAsia="Times New Roman" w:hAnsi="Times New Roman"/>
          <w:sz w:val="18"/>
          <w:szCs w:val="18"/>
          <w:color w:val="auto"/>
        </w:rPr>
        <w:t xml:space="preserve">Unless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 these Articles otherwise provide, any action that must or may be taken or authorized by the shareholders may be taken or authorized by an ordinary resolution.</w:t>
      </w:r>
    </w:p>
    <w:p>
      <w:pPr>
        <w:spacing w:after="0" w:line="62" w:lineRule="exact"/>
        <w:rPr>
          <w:sz w:val="20"/>
          <w:szCs w:val="20"/>
          <w:color w:val="auto"/>
        </w:rPr>
      </w:pPr>
    </w:p>
    <w:p>
      <w:pPr>
        <w:ind w:left="544" w:hanging="544"/>
        <w:spacing w:after="0"/>
        <w:tabs>
          <w:tab w:leader="none" w:pos="54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VOTES OF SHAREHOLDERS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Number of Votes by Shareholder or by Shares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to any special rights or restrictions attached to any shares and to the restrictions imposed on joint shareholders under Article 12.3:</w:t>
      </w:r>
    </w:p>
    <w:p>
      <w:pPr>
        <w:spacing w:after="0" w:line="131" w:lineRule="exact"/>
        <w:rPr>
          <w:sz w:val="20"/>
          <w:szCs w:val="20"/>
          <w:color w:val="auto"/>
        </w:rPr>
      </w:pPr>
    </w:p>
    <w:p>
      <w:pPr>
        <w:ind w:left="1184" w:hanging="644"/>
        <w:spacing w:after="0" w:line="282" w:lineRule="auto"/>
        <w:tabs>
          <w:tab w:leader="none" w:pos="1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vote by show of hands, every person present who is a shareholder or proxy holder and entitled to vote on the matter has one vote; and</w:t>
      </w:r>
    </w:p>
    <w:p>
      <w:pPr>
        <w:spacing w:after="0" w:line="67"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Votes of Persons in Representative Capacity</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A person who is not a shareholder may vote at a meeting of shareholders, whether on a show of hands or on a poll, and may appoint a proxy holder to act at the meeting, if, before doing so, the person satisfies the chair of the</w:t>
      </w:r>
    </w:p>
    <w:p>
      <w:pPr>
        <w:spacing w:after="0" w:line="9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0844"/>
          </w:cols>
          <w:pgMar w:left="436" w:top="266" w:right="619" w:bottom="1440" w:gutter="0" w:footer="0" w:header="0"/>
        </w:sectPr>
      </w:pPr>
    </w:p>
    <w:bookmarkStart w:id="28" w:name="page29"/>
    <w:bookmarkEnd w:id="28"/>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 or the directors, that the person is a legal personal representative or a trustee m bankruptcy for a shareholder who is entitled to vote at the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Votes by Joint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are joint shareholders registered in respect of any share:</w:t>
      </w:r>
    </w:p>
    <w:p>
      <w:pPr>
        <w:spacing w:after="0" w:line="131" w:lineRule="exact"/>
        <w:rPr>
          <w:sz w:val="20"/>
          <w:szCs w:val="20"/>
          <w:color w:val="auto"/>
        </w:rPr>
      </w:pPr>
    </w:p>
    <w:p>
      <w:pPr>
        <w:ind w:left="1180" w:right="80" w:hanging="644"/>
        <w:spacing w:after="0" w:line="282" w:lineRule="auto"/>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of the joint shareholders may vote at any meeting of shareholders, personally or by proxy, in respect of the share as if that joint shareholder were solely entitled to it; or</w:t>
      </w:r>
    </w:p>
    <w:p>
      <w:pPr>
        <w:spacing w:after="0" w:line="67" w:lineRule="exact"/>
        <w:rPr>
          <w:sz w:val="20"/>
          <w:szCs w:val="20"/>
          <w:color w:val="auto"/>
        </w:rPr>
      </w:pPr>
    </w:p>
    <w:p>
      <w:pPr>
        <w:ind w:left="1180" w:hanging="644"/>
        <w:spacing w:after="0" w:line="266" w:lineRule="auto"/>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Legal Personal Representatives as Joint Shareholders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Two or more legal personal representatives of a shareholder in whose sole name any share is registered are, for the purposes of Article 12.3, deemed to be joint shareholders registered in respect of that share.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Representative of a Corporate Shareholder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 corporation that is not a subsidiary of the Company is a shareholder, that corporation may appoint a person to act as its representative at any meeting of shareholders of the Company, and:</w:t>
      </w:r>
    </w:p>
    <w:p>
      <w:pPr>
        <w:spacing w:after="0" w:line="67" w:lineRule="exact"/>
        <w:rPr>
          <w:sz w:val="20"/>
          <w:szCs w:val="20"/>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that purpose, the instrument appointing a representative must be received:</w:t>
      </w:r>
    </w:p>
    <w:p>
      <w:pPr>
        <w:spacing w:after="0" w:line="130" w:lineRule="exact"/>
        <w:rPr>
          <w:rFonts w:ascii="Times New Roman" w:cs="Times New Roman" w:eastAsia="Times New Roman" w:hAnsi="Times New Roman"/>
          <w:sz w:val="18"/>
          <w:szCs w:val="18"/>
          <w:color w:val="auto"/>
        </w:rPr>
      </w:pPr>
    </w:p>
    <w:p>
      <w:pPr>
        <w:ind w:left="1740" w:right="540" w:hanging="543"/>
        <w:spacing w:after="0" w:line="266" w:lineRule="auto"/>
        <w:tabs>
          <w:tab w:leader="none" w:pos="17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 any adjourned meeting; or</w:t>
      </w:r>
    </w:p>
    <w:p>
      <w:pPr>
        <w:spacing w:after="0" w:line="81" w:lineRule="exact"/>
        <w:rPr>
          <w:rFonts w:ascii="Times New Roman" w:cs="Times New Roman" w:eastAsia="Times New Roman" w:hAnsi="Times New Roman"/>
          <w:sz w:val="18"/>
          <w:szCs w:val="18"/>
          <w:color w:val="auto"/>
        </w:rPr>
      </w:pPr>
    </w:p>
    <w:p>
      <w:pPr>
        <w:ind w:left="1740" w:right="380" w:hanging="543"/>
        <w:spacing w:after="0" w:line="282" w:lineRule="auto"/>
        <w:tabs>
          <w:tab w:leader="none" w:pos="17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or any adjourned meeting, by the chair of the meeting or adjourned meeting or by a person designated by the chair of the meeting or adjourned meeting;</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representative is appointed under this Article 12.5:</w:t>
      </w:r>
    </w:p>
    <w:p>
      <w:pPr>
        <w:spacing w:after="0" w:line="130" w:lineRule="exact"/>
        <w:rPr>
          <w:rFonts w:ascii="Times New Roman" w:cs="Times New Roman" w:eastAsia="Times New Roman" w:hAnsi="Times New Roman"/>
          <w:sz w:val="18"/>
          <w:szCs w:val="18"/>
          <w:color w:val="auto"/>
        </w:rPr>
      </w:pPr>
    </w:p>
    <w:p>
      <w:pPr>
        <w:ind w:left="1740" w:right="300" w:hanging="543"/>
        <w:spacing w:after="0" w:line="266" w:lineRule="auto"/>
        <w:tabs>
          <w:tab w:leader="none" w:pos="17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81" w:lineRule="exact"/>
        <w:rPr>
          <w:rFonts w:ascii="Times New Roman" w:cs="Times New Roman" w:eastAsia="Times New Roman" w:hAnsi="Times New Roman"/>
          <w:sz w:val="18"/>
          <w:szCs w:val="18"/>
          <w:color w:val="auto"/>
        </w:rPr>
      </w:pPr>
    </w:p>
    <w:p>
      <w:pPr>
        <w:ind w:left="1740" w:right="660" w:hanging="543"/>
        <w:spacing w:after="0" w:line="282" w:lineRule="auto"/>
        <w:tabs>
          <w:tab w:leader="none" w:pos="17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if present at the meeting, is to be counted for the purpose of forming a quorum and is deemed to be a shareholder present in person at the meeting.</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Evidence of the appointment of any such representative may be sent to the Company by written instrument, fax or any other method of transmitting legibly recorded messages.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When Proxy Holder Need Not Be Shareholder</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person must not be appointed as a proxy holder unless the person is a shareholder, although a person who is not a shareholder may be appointed as a proxy holder if: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0"/>
          </w:cols>
          <w:pgMar w:left="440" w:top="270" w:right="459" w:bottom="1440" w:gutter="0" w:footer="0" w:header="0"/>
        </w:sectPr>
      </w:pPr>
    </w:p>
    <w:bookmarkStart w:id="29" w:name="page30"/>
    <w:bookmarkEnd w:id="29"/>
    <w:p>
      <w:pPr>
        <w:ind w:left="1180" w:hanging="644"/>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appointing the proxy holder is a corporation or a representative of a corporation appointed under Article 12.5;</w:t>
      </w:r>
    </w:p>
    <w:p>
      <w:pPr>
        <w:spacing w:after="0" w:line="130"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at the time of the meeting for which the proxy holder is to be appointed only one shareholder entitled to vote at the meeting;</w:t>
      </w:r>
    </w:p>
    <w:p>
      <w:pPr>
        <w:spacing w:after="0" w:line="67"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 or</w:t>
      </w:r>
    </w:p>
    <w:p>
      <w:pPr>
        <w:spacing w:after="0" w:line="81"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public company or is a pre-existing reporting company which has the Statutory Reporting Company Provisions as part of these Articles or to which the Statutory Reporting Company Provisions apply.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When Proxy Provisions Do Not Apply to the Company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and for so long as the Company is a public company or is a pre-existing reporting company which has the Statutory Reporting Company Provisions as part of these Articles or to which the Statutory Reporting Company Provisions apply, Articles 12.8 to 12.16 apply only insofar as they are not inconsistent with any Canadian securities legislation applicable to the Company, any U.S. securities legislation applicable to the Company or any rules of an exchange on which securities of the Company are listed.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Appointment of Proxy Holders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Every shareholder of the Company, including a corporation that is a shareholder but not a subsidiary of the Company, entitled to vote at a meeting of shareholders may, by proxy, appoint one or more proxy holders to attend and act at the meeting in the manner, to the extent and with the powers conferred by the proxy.</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Alternate Proxy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may appoint one or more alternate proxy holders to act in the place of an absent proxy holder.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12.10  Deposit of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proxy for a meeting of shareholders must:</w:t>
      </w:r>
    </w:p>
    <w:p>
      <w:pPr>
        <w:spacing w:after="0" w:line="131" w:lineRule="exact"/>
        <w:rPr>
          <w:sz w:val="20"/>
          <w:szCs w:val="20"/>
          <w:color w:val="auto"/>
        </w:rPr>
      </w:pPr>
    </w:p>
    <w:p>
      <w:pPr>
        <w:jc w:val="both"/>
        <w:ind w:left="1180" w:right="180" w:hanging="644"/>
        <w:spacing w:after="0" w:line="266" w:lineRule="auto"/>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 any adjourned meeting; or</w:t>
      </w:r>
    </w:p>
    <w:p>
      <w:pPr>
        <w:spacing w:after="0" w:line="81" w:lineRule="exact"/>
        <w:rPr>
          <w:rFonts w:ascii="Times New Roman" w:cs="Times New Roman" w:eastAsia="Times New Roman" w:hAnsi="Times New Roman"/>
          <w:sz w:val="18"/>
          <w:szCs w:val="18"/>
          <w:color w:val="auto"/>
        </w:rPr>
      </w:pPr>
    </w:p>
    <w:p>
      <w:pPr>
        <w:ind w:left="1180" w:right="360" w:hanging="644"/>
        <w:spacing w:after="0" w:line="282" w:lineRule="auto"/>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notice provides otherwise, be received at the meeting or any adjourned meeting, by the chair of the meeting or adjourned meeting or by a person designated by the chair of the meeting or adjourned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proxy may be sent to the Company by written instrument, fax or any other method of transmitting legibly recorded messages.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12.11  Validity of Proxy Vote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00"/>
          </w:cols>
          <w:pgMar w:left="440" w:top="270" w:right="459" w:bottom="1440" w:gutter="0" w:footer="0" w:header="0"/>
        </w:sectPr>
      </w:pPr>
    </w:p>
    <w:bookmarkStart w:id="30" w:name="page31"/>
    <w:bookmarkEnd w:id="30"/>
    <w:p>
      <w:pPr>
        <w:ind w:left="1180" w:right="300" w:hanging="644"/>
        <w:spacing w:after="0" w:line="282"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registered office of the Company, at any time up to and including the last business day before the day set for the holding of the meeting or any adjourned meeting at which the proxy is to be used; or</w:t>
      </w:r>
    </w:p>
    <w:p>
      <w:pPr>
        <w:spacing w:after="0" w:line="67"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or any adjourned meeting, by the chair of the meeting or adjourned meeting, before any vote in respect of which the proxy has been given has been taken.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12.12  Form of Proxy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proxy, whether for a specified meeting or otherwise, must be either in the following form or in any other form approved by the directors or the chair of the meeting:</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[name of company] </w:t>
      </w:r>
      <w:r>
        <w:rPr>
          <w:rFonts w:ascii="Times New Roman" w:cs="Times New Roman" w:eastAsia="Times New Roman" w:hAnsi="Times New Roman"/>
          <w:sz w:val="18"/>
          <w:szCs w:val="18"/>
          <w:color w:val="auto"/>
        </w:rPr>
        <w:t>(the “Company”)</w:t>
      </w:r>
    </w:p>
    <w:p>
      <w:pPr>
        <w:spacing w:after="0" w:line="117" w:lineRule="exact"/>
        <w:rPr>
          <w:sz w:val="20"/>
          <w:szCs w:val="20"/>
          <w:color w:val="auto"/>
        </w:rPr>
      </w:pPr>
    </w:p>
    <w:p>
      <w:pPr>
        <w:ind w:left="540" w:right="260"/>
        <w:spacing w:after="0" w:line="268" w:lineRule="auto"/>
        <w:rPr>
          <w:sz w:val="20"/>
          <w:szCs w:val="20"/>
          <w:color w:val="auto"/>
        </w:rPr>
      </w:pPr>
      <w:r>
        <w:rPr>
          <w:rFonts w:ascii="Times New Roman" w:cs="Times New Roman" w:eastAsia="Times New Roman" w:hAnsi="Times New Roman"/>
          <w:sz w:val="18"/>
          <w:szCs w:val="18"/>
          <w:color w:val="auto"/>
        </w:rPr>
        <w:t xml:space="preserve">The undersigned, being a shareholder of the Company, hereby appoints [name] or, failing that person, </w:t>
      </w: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xml:space="preserve"> as proxy holder for the undersigned to attend, act and vote for and on behalf of the undersigned at the meeting of shareholders of the Company to be held on [</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day, year] </w:t>
      </w:r>
      <w:r>
        <w:rPr>
          <w:rFonts w:ascii="Times New Roman" w:cs="Times New Roman" w:eastAsia="Times New Roman" w:hAnsi="Times New Roman"/>
          <w:sz w:val="18"/>
          <w:szCs w:val="18"/>
          <w:color w:val="auto"/>
        </w:rPr>
        <w:t>and at any adjournment of that meeting.</w:t>
      </w:r>
    </w:p>
    <w:p>
      <w:pPr>
        <w:spacing w:after="0" w:line="67"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Number of shares in respect of which this proxy is given (if no number is specified, then this proxy is given in respect of all shares registered in the name of the undersigned):</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b w:val="1"/>
          <w:bCs w:val="1"/>
          <w:color w:val="auto"/>
        </w:rPr>
        <w:t>[month, day,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shareholder-printed]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12.13  Revocation of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Article 12.14, every proxy may be revoked by an instrument in writing that is received:</w:t>
      </w:r>
    </w:p>
    <w:p>
      <w:pPr>
        <w:spacing w:after="0" w:line="131" w:lineRule="exact"/>
        <w:rPr>
          <w:sz w:val="20"/>
          <w:szCs w:val="20"/>
          <w:color w:val="auto"/>
        </w:rPr>
      </w:pPr>
    </w:p>
    <w:p>
      <w:pPr>
        <w:ind w:left="1180" w:right="32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registered office of the Company at any time up to and including the last business day before the day set for the holding of the meeting or any adjourned meeting at which the proxy is to be used; or</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or any adjourned meeting by the chair of the meeting or adjourned meeting, before any vote in respect of which the proxy has been given has been taken.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12.14  Revocation of Proxy Must Be Signed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instrument referred to in Article 12.13 must be signed as follows:</w:t>
      </w:r>
    </w:p>
    <w:p>
      <w:pPr>
        <w:spacing w:after="0" w:line="131" w:lineRule="exact"/>
        <w:rPr>
          <w:sz w:val="20"/>
          <w:szCs w:val="20"/>
          <w:color w:val="auto"/>
        </w:rPr>
      </w:pPr>
    </w:p>
    <w:p>
      <w:pPr>
        <w:ind w:left="1180" w:right="260" w:hanging="644"/>
        <w:spacing w:after="0" w:line="282"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for whom the proxy holder is appointed is an individual, the instrument must be signed by the shareholder or his or her legal personal representative or trustee in bankruptcy;</w:t>
      </w:r>
    </w:p>
    <w:p>
      <w:pPr>
        <w:spacing w:after="0" w:line="67" w:lineRule="exact"/>
        <w:rPr>
          <w:rFonts w:ascii="Times New Roman" w:cs="Times New Roman" w:eastAsia="Times New Roman" w:hAnsi="Times New Roman"/>
          <w:sz w:val="18"/>
          <w:szCs w:val="18"/>
          <w:color w:val="auto"/>
        </w:rPr>
      </w:pPr>
    </w:p>
    <w:p>
      <w:pPr>
        <w:ind w:left="1180" w:right="360" w:hanging="644"/>
        <w:spacing w:after="0" w:line="282"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12.15  Chair May Determine Validity of Proxy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chair of any meeting of shareholders may determine whether or not a proxy deposited for use at the meeting, which may not strictly comply with the requirements of this Part 12 as to form, execution, accompanying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20"/>
          </w:cols>
          <w:pgMar w:left="440" w:top="270" w:right="439" w:bottom="1440" w:gutter="0" w:footer="0" w:header="0"/>
        </w:sectPr>
      </w:pPr>
    </w:p>
    <w:bookmarkStart w:id="31" w:name="page32"/>
    <w:bookmarkEnd w:id="31"/>
    <w:p>
      <w:pPr>
        <w:ind w:left="4"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documentation, time of filing or otherwise, shall be valid for use at such meeting and any such determination made in good faith shall be final, conclusive and binding upon such meeting.</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12.16  Production of Evidence of Authority to Vote</w:t>
      </w:r>
    </w:p>
    <w:p>
      <w:pPr>
        <w:spacing w:after="0" w:line="121"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The chair of any meeting of shareholders may, but need not, inquire into the authority of any person to vote at the meeting and may, but need not, demand from that person production of evidence as to the existence of the authority to vote.</w:t>
      </w:r>
    </w:p>
    <w:p>
      <w:pPr>
        <w:spacing w:after="0" w:line="63" w:lineRule="exact"/>
        <w:rPr>
          <w:sz w:val="20"/>
          <w:szCs w:val="20"/>
          <w:color w:val="auto"/>
        </w:rPr>
      </w:pPr>
    </w:p>
    <w:p>
      <w:pPr>
        <w:ind w:left="544" w:hanging="544"/>
        <w:spacing w:after="0"/>
        <w:tabs>
          <w:tab w:leader="none" w:pos="5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First Directors; Number of Directors</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 xml:space="preserve">The first directors are the persons designated as directors of the Company in the Notice of Articles that applies to the Company when it is recognized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number of directors, excluding additional directors appointed under Article 14.8, is set at:</w:t>
      </w:r>
    </w:p>
    <w:p>
      <w:pPr>
        <w:spacing w:after="0" w:line="67" w:lineRule="exact"/>
        <w:rPr>
          <w:sz w:val="20"/>
          <w:szCs w:val="20"/>
          <w:color w:val="auto"/>
        </w:rPr>
      </w:pPr>
    </w:p>
    <w:p>
      <w:pPr>
        <w:ind w:left="1184" w:hanging="644"/>
        <w:spacing w:after="0"/>
        <w:tabs>
          <w:tab w:leader="none" w:pos="1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(2) and (3), the number of directors that is equal to the number of the Company’s first directors;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 public company, the greater of three and the most recently set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set by directors’ resolution (whether or not previous notice of the resolution was given);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set under Article 14.4;</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not a public company, the most recently set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set by directors’ resolution (whether or not previous notice of the resolution was given);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set under Article 14.4.</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Change in Number of Directors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number of directors is set under Articles 13.1(2)(a) or 13.1(3)(a):</w:t>
      </w:r>
    </w:p>
    <w:p>
      <w:pPr>
        <w:spacing w:after="0" w:line="131" w:lineRule="exact"/>
        <w:rPr>
          <w:sz w:val="20"/>
          <w:szCs w:val="20"/>
          <w:color w:val="auto"/>
        </w:rPr>
      </w:pPr>
    </w:p>
    <w:p>
      <w:pPr>
        <w:ind w:left="1184" w:hanging="644"/>
        <w:spacing w:after="0"/>
        <w:tabs>
          <w:tab w:leader="none" w:pos="1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may elect or appoint the directors needed to fill any vacancies in the board of directors up to that number; or</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66" w:lineRule="auto"/>
        <w:tabs>
          <w:tab w:leader="none" w:pos="1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shareholders do not elect or appoint the directors needed to fill any vacancies in the board of directors up to that number contemporaneously with the setting of that number, then the directors, subject to Article 14.8, may appoint, or the shareholders may elect or appoint, directors to fill those vacancies.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Directors’ Acts Valid Despite Vacancy</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An act or proceeding of the directors is not invalid merely because fewer than the number of directors set or otherwise required under these Articles is in office.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Qualifications of Directors</w:t>
      </w:r>
    </w:p>
    <w:p>
      <w:pPr>
        <w:spacing w:after="0" w:line="119" w:lineRule="exact"/>
        <w:rPr>
          <w:sz w:val="20"/>
          <w:szCs w:val="20"/>
          <w:color w:val="auto"/>
        </w:rPr>
      </w:pPr>
    </w:p>
    <w:p>
      <w:pPr>
        <w:ind w:left="4" w:right="700"/>
        <w:spacing w:after="0" w:line="284" w:lineRule="auto"/>
        <w:rPr>
          <w:sz w:val="20"/>
          <w:szCs w:val="20"/>
          <w:color w:val="auto"/>
        </w:rPr>
      </w:pPr>
      <w:r>
        <w:rPr>
          <w:rFonts w:ascii="Times New Roman" w:cs="Times New Roman" w:eastAsia="Times New Roman" w:hAnsi="Times New Roman"/>
          <w:sz w:val="18"/>
          <w:szCs w:val="18"/>
          <w:color w:val="auto"/>
        </w:rPr>
        <w:t xml:space="preserve">A director is not required to hold a share of the Company as qualification for his or her office but must be qualified as required by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to become, act or continue to act as a director.</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984"/>
          </w:cols>
          <w:pgMar w:left="436" w:top="270" w:right="479" w:bottom="1440" w:gutter="0" w:footer="0" w:header="0"/>
        </w:sectPr>
      </w:pPr>
    </w:p>
    <w:bookmarkStart w:id="32" w:name="page33"/>
    <w:bookmarkEnd w:id="3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r>
      <w:r>
        <w:rPr>
          <w:sz w:val="20"/>
          <w:szCs w:val="20"/>
          <w:color w:val="auto"/>
        </w:rPr>
        <w:tab/>
      </w:r>
      <w:r>
        <w:rPr>
          <w:rFonts w:ascii="Times New Roman" w:cs="Times New Roman" w:eastAsia="Times New Roman" w:hAnsi="Times New Roman"/>
          <w:sz w:val="17"/>
          <w:szCs w:val="17"/>
          <w:b w:val="1"/>
          <w:bCs w:val="1"/>
          <w:color w:val="auto"/>
        </w:rPr>
        <w:t>Remuneration of Directors</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13.6</w:t>
        <w:tab/>
        <w:t>Reimbursement of Expenses of Directors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must reimburse each director for the reasonable expenses that he or she may incur in and about the business of the Company.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b w:val="1"/>
          <w:bCs w:val="1"/>
          <w:color w:val="auto"/>
        </w:rPr>
        <w:t>Special Remuneration for Directors</w:t>
      </w:r>
    </w:p>
    <w:p>
      <w:pPr>
        <w:spacing w:after="0" w:line="121"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b w:val="1"/>
          <w:bCs w:val="1"/>
          <w:color w:val="auto"/>
        </w:rPr>
        <w:t>Gratuity, Pension or Allowance on Retirement of Director</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77" w:lineRule="exact"/>
        <w:rPr>
          <w:sz w:val="20"/>
          <w:szCs w:val="20"/>
          <w:color w:val="auto"/>
        </w:rPr>
      </w:pPr>
    </w:p>
    <w:p>
      <w:pPr>
        <w:ind w:left="4" w:right="6700" w:hanging="4"/>
        <w:spacing w:after="0" w:line="385" w:lineRule="auto"/>
        <w:tabs>
          <w:tab w:leader="none" w:pos="54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AND REMOVAL OF DIRECTORS 14.1 Election at Annual General Meeting</w:t>
      </w:r>
    </w:p>
    <w:p>
      <w:pPr>
        <w:spacing w:after="0" w:line="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Subject to applicable securities laws and the rules of any stock exchange on which the securities of the Company are from time to time listed and posted for trading, at every annual general meeting and in every unanimous resolution contemplated by Article 10.2, in each case, in respect of which shareholders are asked to vote on the election of directors:</w:t>
      </w:r>
    </w:p>
    <w:p>
      <w:pPr>
        <w:spacing w:after="0" w:line="81" w:lineRule="exact"/>
        <w:rPr>
          <w:sz w:val="20"/>
          <w:szCs w:val="20"/>
          <w:color w:val="auto"/>
        </w:rPr>
      </w:pPr>
    </w:p>
    <w:p>
      <w:pPr>
        <w:ind w:left="1184" w:right="260" w:hanging="644"/>
        <w:spacing w:after="0" w:line="282" w:lineRule="auto"/>
        <w:tabs>
          <w:tab w:leader="none" w:pos="11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entitled to vote at the annual general meeting for the election of directors must elect, or in the unanimous resolution appoint, a board of directors consisting of the number of directors for the time being set under these Articles;</w:t>
      </w:r>
    </w:p>
    <w:p>
      <w:pPr>
        <w:spacing w:after="0" w:line="67" w:lineRule="exact"/>
        <w:rPr>
          <w:rFonts w:ascii="Times New Roman" w:cs="Times New Roman" w:eastAsia="Times New Roman" w:hAnsi="Times New Roman"/>
          <w:sz w:val="18"/>
          <w:szCs w:val="18"/>
          <w:color w:val="auto"/>
        </w:rPr>
      </w:pPr>
    </w:p>
    <w:p>
      <w:pPr>
        <w:ind w:left="1184" w:right="500" w:hanging="644"/>
        <w:spacing w:after="0" w:line="282" w:lineRule="auto"/>
        <w:tabs>
          <w:tab w:leader="none" w:pos="11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be elected for a term expiring no later than immediately prior to the election or appointment of directors under paragraph (I) at the third annual general meeting of the shareholders following his or her election; and</w:t>
      </w:r>
    </w:p>
    <w:p>
      <w:pPr>
        <w:spacing w:after="0" w:line="67"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future annual general meeting, each director who has reached the expiration of the term for which he or she was elected, shall cease to hold office immediately before the election or appointment of directors under paragraph(!), but is eligible for re-election or re-appointment at such annual general meeting.</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Nominations of Directors</w:t>
      </w:r>
    </w:p>
    <w:p>
      <w:pPr>
        <w:spacing w:after="0" w:line="135" w:lineRule="exact"/>
        <w:rPr>
          <w:sz w:val="20"/>
          <w:szCs w:val="20"/>
          <w:color w:val="auto"/>
        </w:rPr>
      </w:pPr>
    </w:p>
    <w:p>
      <w:pPr>
        <w:ind w:left="1184" w:right="80" w:hanging="644"/>
        <w:spacing w:after="0" w:line="266" w:lineRule="auto"/>
        <w:tabs>
          <w:tab w:leader="none" w:pos="1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out in this Article 14.2 shall be eligible for election as directors of the Company. Nominations of persons for election to the board of directors of the Company may be made at any annual general meeting of</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984"/>
          </w:cols>
          <w:pgMar w:left="436" w:top="266" w:right="479" w:bottom="1440" w:gutter="0" w:footer="0" w:header="0"/>
        </w:sectPr>
      </w:pPr>
    </w:p>
    <w:bookmarkStart w:id="33" w:name="page34"/>
    <w:bookmarkEnd w:id="33"/>
    <w:p>
      <w:pPr>
        <w:ind w:left="66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shareholders, or at any special meeting of shareholders if one of the purposes for which the special meeting was called was the election of directors:</w:t>
      </w:r>
    </w:p>
    <w:p>
      <w:pPr>
        <w:spacing w:after="0" w:line="67" w:lineRule="exact"/>
        <w:rPr>
          <w:sz w:val="20"/>
          <w:szCs w:val="20"/>
          <w:color w:val="auto"/>
        </w:rPr>
      </w:pPr>
    </w:p>
    <w:p>
      <w:pPr>
        <w:ind w:left="1864" w:hanging="649"/>
        <w:spacing w:after="0"/>
        <w:tabs>
          <w:tab w:leader="none" w:pos="18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including pursuant to a notice of meeting;</w:t>
      </w:r>
    </w:p>
    <w:p>
      <w:pPr>
        <w:spacing w:after="0" w:line="130" w:lineRule="exact"/>
        <w:rPr>
          <w:rFonts w:ascii="Times New Roman" w:cs="Times New Roman" w:eastAsia="Times New Roman" w:hAnsi="Times New Roman"/>
          <w:sz w:val="18"/>
          <w:szCs w:val="18"/>
          <w:color w:val="auto"/>
        </w:rPr>
      </w:pPr>
    </w:p>
    <w:p>
      <w:pPr>
        <w:jc w:val="both"/>
        <w:ind w:left="1864" w:right="500" w:hanging="649"/>
        <w:spacing w:after="0" w:line="266" w:lineRule="auto"/>
        <w:tabs>
          <w:tab w:leader="none" w:pos="18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or at the direction or request of one or more shareholders pursuant to a proposal made in accordance with the </w:t>
      </w:r>
      <w:r>
        <w:rPr>
          <w:rFonts w:ascii="Times New Roman" w:cs="Times New Roman" w:eastAsia="Times New Roman" w:hAnsi="Times New Roman"/>
          <w:sz w:val="18"/>
          <w:szCs w:val="18"/>
          <w:i w:val="1"/>
          <w:iCs w:val="1"/>
          <w:color w:val="auto"/>
        </w:rPr>
        <w:t xml:space="preserve">Business Corporations Act </w:t>
      </w:r>
      <w:r>
        <w:rPr>
          <w:rFonts w:ascii="Times New Roman" w:cs="Times New Roman" w:eastAsia="Times New Roman" w:hAnsi="Times New Roman"/>
          <w:sz w:val="18"/>
          <w:szCs w:val="18"/>
          <w:color w:val="auto"/>
        </w:rPr>
        <w:t>or pursuant to a requisition of the shareholders made in accordance with the</w:t>
      </w:r>
      <w:r>
        <w:rPr>
          <w:rFonts w:ascii="Times New Roman" w:cs="Times New Roman" w:eastAsia="Times New Roman" w:hAnsi="Times New Roman"/>
          <w:sz w:val="18"/>
          <w:szCs w:val="18"/>
          <w:i w:val="1"/>
          <w:iCs w:val="1"/>
          <w:color w:val="auto"/>
        </w:rPr>
        <w:t xml:space="preserve"> Business Corporations Act; </w:t>
      </w:r>
      <w:r>
        <w:rPr>
          <w:rFonts w:ascii="Times New Roman" w:cs="Times New Roman" w:eastAsia="Times New Roman" w:hAnsi="Times New Roman"/>
          <w:sz w:val="18"/>
          <w:szCs w:val="18"/>
          <w:color w:val="auto"/>
        </w:rPr>
        <w:t>or</w:t>
      </w:r>
    </w:p>
    <w:p>
      <w:pPr>
        <w:spacing w:after="0" w:line="81"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shareholder:</w:t>
      </w:r>
    </w:p>
    <w:p>
      <w:pPr>
        <w:spacing w:after="0" w:line="130" w:lineRule="exact"/>
        <w:rPr>
          <w:rFonts w:ascii="Times New Roman" w:cs="Times New Roman" w:eastAsia="Times New Roman" w:hAnsi="Times New Roman"/>
          <w:sz w:val="18"/>
          <w:szCs w:val="18"/>
          <w:color w:val="auto"/>
        </w:rPr>
      </w:pPr>
    </w:p>
    <w:p>
      <w:pPr>
        <w:ind w:left="2424" w:right="120" w:hanging="548"/>
        <w:spacing w:after="0" w:line="261" w:lineRule="auto"/>
        <w:tabs>
          <w:tab w:leader="none" w:pos="242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at the close of business on the date of the giving of the notice provided for below in this Article 14.2 and on the record date for notice of such meeting, is entered in the central securities register of the Company as a holder of one or more shares carrying the right to vote at such meeting on the election of directors (a “Nominating Shareholder”); and</w:t>
      </w:r>
    </w:p>
    <w:p>
      <w:pPr>
        <w:spacing w:after="0" w:line="85" w:lineRule="exact"/>
        <w:rPr>
          <w:rFonts w:ascii="Times New Roman" w:cs="Times New Roman" w:eastAsia="Times New Roman" w:hAnsi="Times New Roman"/>
          <w:sz w:val="18"/>
          <w:szCs w:val="18"/>
          <w:color w:val="auto"/>
        </w:rPr>
      </w:pPr>
    </w:p>
    <w:p>
      <w:pPr>
        <w:ind w:left="2424" w:hanging="548"/>
        <w:spacing w:after="0"/>
        <w:tabs>
          <w:tab w:leader="none" w:pos="242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complies with the notice procedures set forth in this Article 14.2.</w:t>
      </w:r>
    </w:p>
    <w:p>
      <w:pPr>
        <w:spacing w:after="0" w:line="130"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requirements under applicable laws, for a nomination to be made by a Nominating Shareholder, the Nominating Shareholder must have given timely notice thereof (in accordance with this Article 14.2) and in proper written form (in accordance with this Article 14.2) to the secretary of the Company at the principal executive offices of the Company.</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Nominating Shareholder’s notice to the Company must be made:</w:t>
      </w:r>
    </w:p>
    <w:p>
      <w:pPr>
        <w:spacing w:after="0" w:line="130" w:lineRule="exact"/>
        <w:rPr>
          <w:rFonts w:ascii="Times New Roman" w:cs="Times New Roman" w:eastAsia="Times New Roman" w:hAnsi="Times New Roman"/>
          <w:sz w:val="18"/>
          <w:szCs w:val="18"/>
          <w:color w:val="auto"/>
        </w:rPr>
      </w:pPr>
    </w:p>
    <w:p>
      <w:pPr>
        <w:ind w:left="1864" w:hanging="649"/>
        <w:spacing w:after="0" w:line="260" w:lineRule="auto"/>
        <w:tabs>
          <w:tab w:leader="none" w:pos="18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not less than 30 nor more than 65 days prior to the date of the annual general meeting of shareholders provided, however, in the event that the annual general meeting of shareholders is to be held on a date that is less than 50 days after the date (the “Notice Date”) on which the first public announcement of the date of the annual general meeting was made, notice by the Nominating Shareholder may be made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Notice Date; and</w:t>
      </w:r>
    </w:p>
    <w:p>
      <w:pPr>
        <w:ind w:left="1864" w:right="40" w:hanging="649"/>
        <w:spacing w:after="0" w:line="217" w:lineRule="auto"/>
        <w:tabs>
          <w:tab w:leader="none" w:pos="18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(which is not also an annual general meeting) of shareholders called for the purpose of electing directors (whether or not called for other purposes), not later than the close of business on the I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the first public announcement of the date of the special meeting of shareholders was made.</w:t>
      </w:r>
    </w:p>
    <w:p>
      <w:pPr>
        <w:spacing w:after="0" w:line="91" w:lineRule="exact"/>
        <w:rPr>
          <w:sz w:val="20"/>
          <w:szCs w:val="20"/>
          <w:color w:val="auto"/>
        </w:rPr>
      </w:pPr>
    </w:p>
    <w:p>
      <w:pPr>
        <w:ind w:left="664" w:right="60"/>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Article 14.2, in no event shall any adjournment or postponement of a meeting of shareholders or the announcement thereof commence a new time period for the giving of a Nominating Shareholder’s notice as described above.</w:t>
      </w:r>
    </w:p>
    <w:p>
      <w:pPr>
        <w:spacing w:after="0" w:line="67" w:lineRule="exact"/>
        <w:rPr>
          <w:sz w:val="20"/>
          <w:szCs w:val="20"/>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Nominating Shareholder’s notice to the Company must set forth:</w:t>
      </w:r>
    </w:p>
    <w:p>
      <w:pPr>
        <w:spacing w:after="0" w:line="130" w:lineRule="exact"/>
        <w:rPr>
          <w:rFonts w:ascii="Times New Roman" w:cs="Times New Roman" w:eastAsia="Times New Roman" w:hAnsi="Times New Roman"/>
          <w:sz w:val="18"/>
          <w:szCs w:val="18"/>
          <w:color w:val="auto"/>
        </w:rPr>
      </w:pPr>
    </w:p>
    <w:p>
      <w:pPr>
        <w:ind w:left="1864" w:right="320" w:hanging="649"/>
        <w:spacing w:after="0" w:line="282" w:lineRule="auto"/>
        <w:tabs>
          <w:tab w:leader="none" w:pos="18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Nominating Shareholder is not the beneficial owner of the shares, the identity of the beneficial owner and the number of shares held by that beneficial owner;</w:t>
      </w:r>
    </w:p>
    <w:p>
      <w:pPr>
        <w:spacing w:after="0" w:line="67"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Nominating Shareholder proposes to nominate for election as a director:</w:t>
      </w:r>
    </w:p>
    <w:p>
      <w:pPr>
        <w:spacing w:after="0" w:line="15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464"/>
          </w:cols>
          <w:pgMar w:left="976" w:top="270" w:right="459" w:bottom="1440" w:gutter="0" w:footer="0" w:header="0"/>
        </w:sectPr>
      </w:pPr>
    </w:p>
    <w:bookmarkStart w:id="34" w:name="page35"/>
    <w:bookmarkEnd w:id="34"/>
    <w:p>
      <w:pPr>
        <w:ind w:left="2424" w:hanging="548"/>
        <w:spacing w:after="0"/>
        <w:tabs>
          <w:tab w:leader="none" w:pos="2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name, age and address of the person;</w:t>
      </w:r>
    </w:p>
    <w:p>
      <w:pPr>
        <w:spacing w:after="0" w:line="130" w:lineRule="exact"/>
        <w:rPr>
          <w:rFonts w:ascii="Times New Roman" w:cs="Times New Roman" w:eastAsia="Times New Roman" w:hAnsi="Times New Roman"/>
          <w:sz w:val="18"/>
          <w:szCs w:val="18"/>
          <w:color w:val="auto"/>
        </w:rPr>
      </w:pPr>
    </w:p>
    <w:p>
      <w:pPr>
        <w:ind w:left="2424" w:hanging="548"/>
        <w:spacing w:after="0"/>
        <w:tabs>
          <w:tab w:leader="none" w:pos="2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person;</w:t>
      </w:r>
    </w:p>
    <w:p>
      <w:pPr>
        <w:spacing w:after="0" w:line="130" w:lineRule="exact"/>
        <w:rPr>
          <w:rFonts w:ascii="Times New Roman" w:cs="Times New Roman" w:eastAsia="Times New Roman" w:hAnsi="Times New Roman"/>
          <w:sz w:val="18"/>
          <w:szCs w:val="18"/>
          <w:color w:val="auto"/>
        </w:rPr>
      </w:pPr>
    </w:p>
    <w:p>
      <w:pPr>
        <w:ind w:left="2424" w:hanging="548"/>
        <w:spacing w:after="0" w:line="266" w:lineRule="auto"/>
        <w:tabs>
          <w:tab w:leader="none" w:pos="2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in the capital of the Company which are controlled or which are owned beneficially or of record by the person as of the record date for the meeting of shareholders (if such date shall then have been made publicly available and shall have occurred) and as of the date of such notice; and</w:t>
      </w:r>
    </w:p>
    <w:p>
      <w:pPr>
        <w:spacing w:after="0" w:line="81" w:lineRule="exact"/>
        <w:rPr>
          <w:rFonts w:ascii="Times New Roman" w:cs="Times New Roman" w:eastAsia="Times New Roman" w:hAnsi="Times New Roman"/>
          <w:sz w:val="18"/>
          <w:szCs w:val="18"/>
          <w:color w:val="auto"/>
        </w:rPr>
      </w:pPr>
    </w:p>
    <w:p>
      <w:pPr>
        <w:ind w:left="2424" w:right="60" w:hanging="548"/>
        <w:spacing w:after="0" w:line="266" w:lineRule="auto"/>
        <w:tabs>
          <w:tab w:leader="none" w:pos="2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relating to the person that would be required to be disclosed in a dissident’s proxy circular or other filings to be made in connection with solicitations of proxies for election of directors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applicable securities laws; and</w:t>
      </w:r>
    </w:p>
    <w:p>
      <w:pPr>
        <w:spacing w:after="0" w:line="81" w:lineRule="exact"/>
        <w:rPr>
          <w:rFonts w:ascii="Times New Roman" w:cs="Times New Roman" w:eastAsia="Times New Roman" w:hAnsi="Times New Roman"/>
          <w:sz w:val="18"/>
          <w:szCs w:val="18"/>
          <w:color w:val="auto"/>
        </w:rPr>
      </w:pPr>
    </w:p>
    <w:p>
      <w:pPr>
        <w:ind w:left="1864" w:right="140" w:hanging="649"/>
        <w:spacing w:after="0" w:line="258" w:lineRule="auto"/>
        <w:tabs>
          <w:tab w:leader="none" w:pos="18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the Nominating Shareholder giving the notice, any proxy, contract, agreement, arrangement, understanding or relationship pursuant to which such Nominating Shareholder has a right to vote any shares of the Company on the election of directors and any other information relating to such Nominating Shareholder that would be required to be made in a dissident’s proxy circular or other filings to be made in connection with solicitations of proxies for election of directors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applicable securities laws.</w:t>
      </w:r>
    </w:p>
    <w:p>
      <w:pPr>
        <w:spacing w:after="0" w:line="75" w:lineRule="exact"/>
        <w:rPr>
          <w:sz w:val="20"/>
          <w:szCs w:val="20"/>
          <w:color w:val="auto"/>
        </w:rPr>
      </w:pPr>
    </w:p>
    <w:p>
      <w:pPr>
        <w:jc w:val="both"/>
        <w:ind w:left="664" w:right="80"/>
        <w:spacing w:after="0" w:line="261" w:lineRule="auto"/>
        <w:rPr>
          <w:sz w:val="20"/>
          <w:szCs w:val="20"/>
          <w:color w:val="auto"/>
        </w:rPr>
      </w:pPr>
      <w:r>
        <w:rPr>
          <w:rFonts w:ascii="Times New Roman" w:cs="Times New Roman" w:eastAsia="Times New Roman" w:hAnsi="Times New Roman"/>
          <w:sz w:val="18"/>
          <w:szCs w:val="18"/>
          <w:color w:val="auto"/>
        </w:rPr>
        <w:t>The Company may require any proposed nominee to furnish such other information as may reasonably be required by the Company to determine the eligibility of such proposed nominee to serve as an independent director of the Company in accordance with applicable securities laws and the rules of any stock exchange on which the securities of the Company are then listed for trading or that could be material to a reasonable shareholder’s understanding of such independence, or lack thereof, of such proposed nominee.</w:t>
      </w:r>
    </w:p>
    <w:p>
      <w:pPr>
        <w:spacing w:after="0" w:line="85" w:lineRule="exact"/>
        <w:rPr>
          <w:sz w:val="20"/>
          <w:szCs w:val="20"/>
          <w:color w:val="auto"/>
        </w:rPr>
      </w:pPr>
    </w:p>
    <w:p>
      <w:pPr>
        <w:ind w:left="644" w:right="20" w:hanging="644"/>
        <w:spacing w:after="0" w:line="254"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by the special rights or restrictions attached to the shares of any class or series of the Company, no person shall be eligible for election as a director of the Company unless nominated in accordance with the provisions of this Article 14.2; provided, however, that nothing in this Article 14.2 shall be deemed to preclude discussion by a shareholder or proxy holder (as distinct from the nomination of directors) at a meeting of shareholders of any matter in respect of which it would have been entitled to submit a proposal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chair of the meeting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 A duly appointed proxy holder of a Nominating Shareholder shall be entitled to nominate at a meeting of shareholders the directors nominated by the Nominating Shareholder, provided that all of the requirements of this Article 14.2 have been satisfied.</w:t>
      </w:r>
    </w:p>
    <w:p>
      <w:pPr>
        <w:spacing w:after="0" w:line="93" w:lineRule="exact"/>
        <w:rPr>
          <w:rFonts w:ascii="Times New Roman" w:cs="Times New Roman" w:eastAsia="Times New Roman" w:hAnsi="Times New Roman"/>
          <w:sz w:val="18"/>
          <w:szCs w:val="18"/>
          <w:color w:val="auto"/>
        </w:rPr>
      </w:pPr>
    </w:p>
    <w:p>
      <w:pPr>
        <w:ind w:left="644" w:hanging="644"/>
        <w:spacing w:after="0" w:line="258"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Company is not a public company, for the purposes of this Article 14.2 “public announcement” shall mean disclosure by notice to shareholders in accordance with Article 24 of these Articles. If and for long as the Company is a public company, for the purposes of this Article 14.2, “public announcement” shall mean disclosure in a news release reported by a national news service in Canada, or in a document publicly filed by the Company under its issuer profile on the System for Electronic Document Analysis and Retrieval at www.sedar.com.</w:t>
      </w:r>
    </w:p>
    <w:p>
      <w:pPr>
        <w:spacing w:after="0" w:line="88"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notice given to the secretary of the Company pursuant to this Article 14.2 may only be given by personal delivery or facsimile transmission (at such contact information as set out on the Company’s issuer profile on the System</w:t>
      </w:r>
    </w:p>
    <w:p>
      <w:pPr>
        <w:spacing w:after="0" w:line="108"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444"/>
          </w:cols>
          <w:pgMar w:left="976" w:top="270" w:right="479" w:bottom="1440" w:gutter="0" w:footer="0" w:header="0"/>
        </w:sectPr>
      </w:pPr>
    </w:p>
    <w:bookmarkStart w:id="35" w:name="page36"/>
    <w:bookmarkEnd w:id="35"/>
    <w:p>
      <w:pPr>
        <w:ind w:left="120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Electronic Document Analysis and Retrieval, provided however, that so long as the Company is not a public company, the contact information for the Company shall be the registered office of the Company as set out in the most recent Notice of Articles filed with the Registrar of Companies), and shall be deemed to have been given and made only at the time it is served by personal delivery to the secretary of the Company at the principal executive offices of the Company or sent by facsimile transmission (provided that receipt of confirmation of such transmission has been received); provided that if such delivery or transmission is made on a day which is a not a business day or later than 5:00 p.m. (Vancouver time) on a day which is a business day, then such delivery or transmission shall be deemed to have been made on the next following day that is a business day.</w:t>
      </w:r>
    </w:p>
    <w:p>
      <w:pPr>
        <w:spacing w:after="0" w:line="94" w:lineRule="exact"/>
        <w:rPr>
          <w:sz w:val="20"/>
          <w:szCs w:val="20"/>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board may, in its sole discretion, waive any requirement in this Article 14.2.</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Consent to be a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election, appointment or designation of an individual as a director is valid unless:</w:t>
      </w:r>
    </w:p>
    <w:p>
      <w:pPr>
        <w:spacing w:after="0" w:line="129" w:lineRule="exact"/>
        <w:rPr>
          <w:sz w:val="20"/>
          <w:szCs w:val="20"/>
          <w:color w:val="auto"/>
        </w:rPr>
      </w:pPr>
    </w:p>
    <w:p>
      <w:pPr>
        <w:ind w:left="1180" w:hanging="644"/>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individual consents to be a director in the manner provided for in the </w:t>
      </w:r>
      <w:r>
        <w:rPr>
          <w:rFonts w:ascii="Times New Roman" w:cs="Times New Roman" w:eastAsia="Times New Roman" w:hAnsi="Times New Roman"/>
          <w:sz w:val="18"/>
          <w:szCs w:val="18"/>
          <w:i w:val="1"/>
          <w:iCs w:val="1"/>
          <w:color w:val="auto"/>
        </w:rPr>
        <w:t>Business Corporations Act;</w:t>
      </w:r>
    </w:p>
    <w:p>
      <w:pPr>
        <w:spacing w:after="0" w:line="132"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individual is elected or appointed at a meeting at which the individual is present and the individual does not refuse, at the meeting, to be a director; or</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first directors, the designation is otherwise valid under the </w:t>
      </w:r>
      <w:r>
        <w:rPr>
          <w:rFonts w:ascii="Times New Roman" w:cs="Times New Roman" w:eastAsia="Times New Roman" w:hAnsi="Times New Roman"/>
          <w:sz w:val="18"/>
          <w:szCs w:val="18"/>
          <w:i w:val="1"/>
          <w:iCs w:val="1"/>
          <w:color w:val="auto"/>
        </w:rPr>
        <w:t>Business Corporations Act.</w:t>
      </w:r>
    </w:p>
    <w:p>
      <w:pPr>
        <w:spacing w:after="0" w:line="1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Failure to Elect or Appoint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131" w:lineRule="exact"/>
        <w:rPr>
          <w:sz w:val="20"/>
          <w:szCs w:val="20"/>
          <w:color w:val="auto"/>
        </w:rPr>
      </w:pPr>
    </w:p>
    <w:p>
      <w:pPr>
        <w:jc w:val="both"/>
        <w:ind w:left="1180" w:right="40" w:hanging="644"/>
        <w:spacing w:after="0" w:line="266" w:lineRule="auto"/>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w:t>
      </w:r>
    </w:p>
    <w:p>
      <w:pPr>
        <w:spacing w:after="0" w:line="81"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fail, at the annual general meeting or in the unanimous resolution contemplated by Article 10.2, to elect or appoint any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each director then in office continues to hold office until the earlier of:</w:t>
      </w:r>
    </w:p>
    <w:p>
      <w:pPr>
        <w:spacing w:after="0" w:line="131" w:lineRule="exact"/>
        <w:rPr>
          <w:sz w:val="20"/>
          <w:szCs w:val="20"/>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his or her successor is elected or appointed; and</w:t>
      </w:r>
    </w:p>
    <w:p>
      <w:pPr>
        <w:spacing w:after="0" w:line="12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he or she otherwise ceases to hold office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 these Articles.</w:t>
      </w:r>
    </w:p>
    <w:p>
      <w:pPr>
        <w:spacing w:after="0" w:line="1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Places of Retiring Directors Not Filled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00"/>
          </w:cols>
          <w:pgMar w:left="440" w:top="270" w:right="459" w:bottom="1440" w:gutter="0" w:footer="0" w:header="0"/>
        </w:sectPr>
      </w:pPr>
    </w:p>
    <w:bookmarkStart w:id="36" w:name="page37"/>
    <w:bookmarkEnd w:id="3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14.6</w:t>
      </w:r>
      <w:r>
        <w:rPr>
          <w:sz w:val="20"/>
          <w:szCs w:val="20"/>
          <w:color w:val="auto"/>
        </w:rPr>
        <w:tab/>
      </w:r>
      <w:r>
        <w:rPr>
          <w:rFonts w:ascii="Times New Roman" w:cs="Times New Roman" w:eastAsia="Times New Roman" w:hAnsi="Times New Roman"/>
          <w:sz w:val="17"/>
          <w:szCs w:val="17"/>
          <w:b w:val="1"/>
          <w:bCs w:val="1"/>
          <w:color w:val="auto"/>
        </w:rPr>
        <w:t>Directors May Fill Casual Vacancies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casual vacancy occurring in the board of directors may be filled by the directors.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Remaining Directors’ Power to Act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calling a meeting of shareholders for the purpose of filling any vacancies on the board of directors or,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for any other purpose.</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Shareholders May Fill Vacancies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Company has no directors or fewer directors in office than the number set pursuant to these Articles as the quorum of directors, the shareholders may elect or appoint directors to fill any vacancies on the board of directors.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7"/>
          <w:szCs w:val="17"/>
          <w:b w:val="1"/>
          <w:bCs w:val="1"/>
          <w:color w:val="auto"/>
        </w:rPr>
        <w:t>Additional Directors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spacing w:after="0" w:line="67" w:lineRule="exact"/>
        <w:rPr>
          <w:sz w:val="20"/>
          <w:szCs w:val="20"/>
          <w:color w:val="auto"/>
        </w:rPr>
      </w:pPr>
    </w:p>
    <w:p>
      <w:pPr>
        <w:ind w:left="1180" w:right="200" w:hanging="644"/>
        <w:spacing w:after="0" w:line="282" w:lineRule="auto"/>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number of first directors, if, at the time of the appointments, one or more of the first directors have not yet completed their first term of office; or</w:t>
      </w:r>
    </w:p>
    <w:p>
      <w:pPr>
        <w:spacing w:after="0" w:line="67" w:lineRule="exact"/>
        <w:rPr>
          <w:sz w:val="20"/>
          <w:szCs w:val="20"/>
          <w:color w:val="auto"/>
        </w:rPr>
      </w:pPr>
    </w:p>
    <w:p>
      <w:pPr>
        <w:ind w:left="1180" w:right="440" w:hanging="644"/>
        <w:spacing w:after="0" w:line="282" w:lineRule="auto"/>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one-third of the number of the current directors who were elected or appointed as directors other than under this Article 14.8.</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director so appointed ceases to hold office immediately before the next election or appointment of directors under Article 14.1(1), but is eligible for re-election or re-appointment.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14.10  Ceasing to be a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ceases to be a director when:</w:t>
      </w:r>
    </w:p>
    <w:p>
      <w:pPr>
        <w:spacing w:after="0" w:line="131" w:lineRule="exact"/>
        <w:rPr>
          <w:sz w:val="20"/>
          <w:szCs w:val="20"/>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the director expires;</w:t>
      </w:r>
    </w:p>
    <w:p>
      <w:pPr>
        <w:spacing w:after="0" w:line="131" w:lineRule="exact"/>
        <w:rPr>
          <w:sz w:val="20"/>
          <w:szCs w:val="20"/>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resigns as a director by notice in writing provided to the Company or a lawyer for the Company;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pursuant to Articles 14.10 or 14.11.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14.11  Removal of Director by Shareholders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0980"/>
          </w:cols>
          <w:pgMar w:left="440" w:top="266" w:right="47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14.12  Removal of Director by Directors</w:t>
      </w:r>
    </w:p>
    <w:p>
      <w:pPr>
        <w:spacing w:after="0" w:line="121"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spacing w:after="0" w:line="77" w:lineRule="exact"/>
        <w:rPr>
          <w:sz w:val="20"/>
          <w:szCs w:val="20"/>
          <w:color w:val="auto"/>
        </w:rPr>
      </w:pPr>
    </w:p>
    <w:p>
      <w:pPr>
        <w:ind w:left="544" w:hanging="544"/>
        <w:spacing w:after="0"/>
        <w:tabs>
          <w:tab w:leader="none" w:pos="54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b w:val="1"/>
          <w:bCs w:val="1"/>
          <w:color w:val="auto"/>
        </w:rPr>
        <w:t>Appointment of Alternate Director</w:t>
      </w:r>
    </w:p>
    <w:p>
      <w:pPr>
        <w:spacing w:after="0" w:line="121"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spacing w:after="0" w:line="6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Notice of Meetings</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Alternate for More Than One Director Attending Meetings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person may be appointed as an alternate director by more than one director, and an alternate director:</w:t>
      </w:r>
    </w:p>
    <w:p>
      <w:pPr>
        <w:spacing w:after="0" w:line="131" w:lineRule="exact"/>
        <w:rPr>
          <w:sz w:val="20"/>
          <w:szCs w:val="20"/>
          <w:color w:val="auto"/>
        </w:rPr>
      </w:pPr>
    </w:p>
    <w:p>
      <w:pPr>
        <w:ind w:left="1184" w:right="540" w:hanging="644"/>
        <w:spacing w:after="0" w:line="282" w:lineRule="auto"/>
        <w:tabs>
          <w:tab w:leader="none" w:pos="118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counted in determining the quorum for a meeting of directors once for each of his or her appointors and, in the case of an appointee who is also a director, once more in that capacity;</w:t>
      </w:r>
    </w:p>
    <w:p>
      <w:pPr>
        <w:spacing w:after="0" w:line="67" w:lineRule="exact"/>
        <w:rPr>
          <w:sz w:val="20"/>
          <w:szCs w:val="20"/>
          <w:color w:val="auto"/>
        </w:rPr>
      </w:pPr>
    </w:p>
    <w:p>
      <w:pPr>
        <w:ind w:left="1184" w:right="160" w:hanging="644"/>
        <w:spacing w:after="0" w:line="282" w:lineRule="auto"/>
        <w:tabs>
          <w:tab w:leader="none" w:pos="11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separate vote at a meeting of directors for each of his or her appointors and, in the case of an appointee who is also a director, an additional vote in that capacity;</w:t>
      </w:r>
    </w:p>
    <w:p>
      <w:pPr>
        <w:spacing w:after="0" w:line="67" w:lineRule="exact"/>
        <w:rPr>
          <w:rFonts w:ascii="Times New Roman" w:cs="Times New Roman" w:eastAsia="Times New Roman" w:hAnsi="Times New Roman"/>
          <w:sz w:val="18"/>
          <w:szCs w:val="18"/>
          <w:color w:val="auto"/>
        </w:rPr>
      </w:pPr>
    </w:p>
    <w:p>
      <w:pPr>
        <w:jc w:val="both"/>
        <w:ind w:left="1184" w:right="340" w:hanging="644"/>
        <w:spacing w:after="0" w:line="266" w:lineRule="auto"/>
        <w:tabs>
          <w:tab w:leader="none" w:pos="11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counted in determining the quorum for a meeting of a committee of directors once for each of his or her appointors who is a member of that committee and, in the case of an appointee who is also a member of that committee as a director, once more in that capacity; and</w:t>
      </w:r>
    </w:p>
    <w:p>
      <w:pPr>
        <w:spacing w:after="0" w:line="81"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separate vote at a meeting of a committee of directors for each of his or her appointors who is a member of that committee and, in the case of an appointee who is also a member of that committee as a director, an additional vote in that capacity.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Consent Resolutions</w:t>
      </w:r>
    </w:p>
    <w:p>
      <w:pPr>
        <w:spacing w:after="0" w:line="11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 xml:space="preserve">Every alternate director, if authorized by the notice appointing him or her, may sign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place of his or her appointor any resolutions to be consented to in writing.</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7"/>
          <w:szCs w:val="17"/>
          <w:b w:val="1"/>
          <w:bCs w:val="1"/>
          <w:color w:val="auto"/>
        </w:rPr>
        <w:t>Alternate Director Not an Agent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Every alternate director is deemed not to be the agent of his or her appointor.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Revocation of Appointment of Alternate Director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appointor may at any time, by notice in writing received by the Company, revoke the appointment of an alternate director appointed by him or her.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984"/>
          </w:cols>
          <w:pgMar w:left="436" w:top="266" w:right="479" w:bottom="1440" w:gutter="0" w:footer="0" w:header="0"/>
        </w:sectPr>
      </w:pPr>
    </w:p>
    <w:bookmarkStart w:id="38" w:name="page39"/>
    <w:bookmarkEnd w:id="3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15.7</w:t>
      </w:r>
      <w:r>
        <w:rPr>
          <w:sz w:val="20"/>
          <w:szCs w:val="20"/>
          <w:color w:val="auto"/>
        </w:rPr>
        <w:tab/>
      </w:r>
      <w:r>
        <w:rPr>
          <w:rFonts w:ascii="Times New Roman" w:cs="Times New Roman" w:eastAsia="Times New Roman" w:hAnsi="Times New Roman"/>
          <w:sz w:val="17"/>
          <w:szCs w:val="17"/>
          <w:b w:val="1"/>
          <w:bCs w:val="1"/>
          <w:color w:val="auto"/>
        </w:rPr>
        <w:t>Ceasing to be an Alternate Director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appointment of an alternate director ceases when:</w:t>
      </w:r>
    </w:p>
    <w:p>
      <w:pPr>
        <w:spacing w:after="0" w:line="131" w:lineRule="exact"/>
        <w:rPr>
          <w:sz w:val="20"/>
          <w:szCs w:val="20"/>
          <w:color w:val="auto"/>
        </w:rPr>
      </w:pPr>
    </w:p>
    <w:p>
      <w:pPr>
        <w:ind w:left="1184" w:hanging="644"/>
        <w:spacing w:after="0"/>
        <w:tabs>
          <w:tab w:leader="none" w:pos="1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appointer ceases to be a director and is not promptly re-elected or re-appointed;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director dies;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director resigns as an alternate director by notice in writing provided to the Company or a lawyer for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director ceases to be qualified to act as a director;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appointer revokes the appointment of the alternate director.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b w:val="1"/>
          <w:bCs w:val="1"/>
          <w:color w:val="auto"/>
        </w:rPr>
        <w:t>Remuneration and Expenses of Alternate Director</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spacing w:after="0" w:line="77" w:lineRule="exact"/>
        <w:rPr>
          <w:sz w:val="20"/>
          <w:szCs w:val="20"/>
          <w:color w:val="auto"/>
        </w:rPr>
      </w:pPr>
    </w:p>
    <w:p>
      <w:pPr>
        <w:ind w:left="4" w:right="7120" w:hanging="4"/>
        <w:spacing w:after="0" w:line="384" w:lineRule="auto"/>
        <w:tabs>
          <w:tab w:leader="none" w:pos="54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AND DUTIES OF DIRECTORS 16.1 Powers of Management</w:t>
      </w:r>
    </w:p>
    <w:p>
      <w:pPr>
        <w:spacing w:after="0" w:line="1" w:lineRule="exact"/>
        <w:rPr>
          <w:sz w:val="20"/>
          <w:szCs w:val="20"/>
          <w:color w:val="auto"/>
        </w:rPr>
      </w:pPr>
    </w:p>
    <w:p>
      <w:pPr>
        <w:jc w:val="both"/>
        <w:ind w:left="4" w:right="80"/>
        <w:spacing w:after="0" w:line="267" w:lineRule="auto"/>
        <w:rPr>
          <w:sz w:val="20"/>
          <w:szCs w:val="20"/>
          <w:color w:val="auto"/>
        </w:rPr>
      </w:pPr>
      <w:r>
        <w:rPr>
          <w:rFonts w:ascii="Times New Roman" w:cs="Times New Roman" w:eastAsia="Times New Roman" w:hAnsi="Times New Roman"/>
          <w:sz w:val="18"/>
          <w:szCs w:val="18"/>
          <w:color w:val="auto"/>
        </w:rPr>
        <w:t xml:space="preserve">The directors must,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these Articles, manage or supervise the management of the business and affairs of the Company and have the authority to exercise all such powers of the Company as are not,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 by these Articles, required to be exercised by the shareholders of the Company.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Appointment of Attorney of Company</w:t>
      </w:r>
    </w:p>
    <w:p>
      <w:pPr>
        <w:spacing w:after="0" w:line="229"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90" w:lineRule="exact"/>
        <w:rPr>
          <w:sz w:val="20"/>
          <w:szCs w:val="20"/>
          <w:color w:val="auto"/>
        </w:rPr>
      </w:pPr>
    </w:p>
    <w:p>
      <w:pPr>
        <w:ind w:left="4" w:right="6660" w:hanging="4"/>
        <w:spacing w:after="0" w:line="427" w:lineRule="auto"/>
        <w:tabs>
          <w:tab w:leader="none" w:pos="54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DIRECTORS AND OFFICERS 17.1 Obligation to Account for Profits</w:t>
      </w:r>
    </w:p>
    <w:p>
      <w:pPr>
        <w:spacing w:after="0" w:line="35"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color w:val="auto"/>
        </w:rPr>
        <w:t xml:space="preserve">A director or senior officer who holds a disclosable interest (as that term is used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Times New Roman" w:cs="Times New Roman" w:eastAsia="Times New Roman" w:hAnsi="Times New Roman"/>
          <w:sz w:val="18"/>
          <w:szCs w:val="18"/>
          <w:i w:val="1"/>
          <w:iCs w:val="1"/>
          <w:color w:val="auto"/>
        </w:rPr>
        <w:t>Business Corporations Act.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b w:val="1"/>
          <w:bCs w:val="1"/>
          <w:color w:val="auto"/>
        </w:rPr>
        <w:t>Restrictions on Voting by Reason of Interest</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 director who holds a disclosable interest in a contract or transaction into which the Company has entered or proposes to enter is not entitled to vote on any directors’ resolution to approve that contract or transaction, unless all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004"/>
          </w:cols>
          <w:pgMar w:left="436" w:top="266" w:right="459" w:bottom="1440" w:gutter="0" w:footer="0" w:header="0"/>
        </w:sectPr>
      </w:pPr>
    </w:p>
    <w:bookmarkStart w:id="39" w:name="page40"/>
    <w:bookmarkEnd w:id="3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directors have a disclosable interest in that contract or transaction, in which case any or all of those directors may vote on such resolution.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Interested Director Counted in Quorum</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Disclosure of Conflict of Interest or Property</w:t>
      </w:r>
    </w:p>
    <w:p>
      <w:pPr>
        <w:spacing w:after="0" w:line="121" w:lineRule="exact"/>
        <w:rPr>
          <w:sz w:val="20"/>
          <w:szCs w:val="20"/>
          <w:color w:val="auto"/>
        </w:rPr>
      </w:pPr>
    </w:p>
    <w:p>
      <w:pPr>
        <w:jc w:val="both"/>
        <w:ind w:left="4" w:right="240"/>
        <w:spacing w:after="0" w:line="266" w:lineRule="auto"/>
        <w:rPr>
          <w:sz w:val="20"/>
          <w:szCs w:val="20"/>
          <w:color w:val="auto"/>
        </w:rPr>
      </w:pPr>
      <w:r>
        <w:rPr>
          <w:rFonts w:ascii="Times New Roman" w:cs="Times New Roman" w:eastAsia="Times New Roman" w:hAnsi="Times New Roman"/>
          <w:sz w:val="18"/>
          <w:szCs w:val="18"/>
          <w:color w:val="auto"/>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Times New Roman" w:cs="Times New Roman" w:eastAsia="Times New Roman" w:hAnsi="Times New Roman"/>
          <w:sz w:val="18"/>
          <w:szCs w:val="18"/>
          <w:i w:val="1"/>
          <w:iCs w:val="1"/>
          <w:color w:val="auto"/>
        </w:rPr>
        <w:t>Business Corporations Act.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Director Holding Other Office in the Company</w:t>
      </w:r>
    </w:p>
    <w:p>
      <w:pPr>
        <w:spacing w:after="0" w:line="121" w:lineRule="exact"/>
        <w:rPr>
          <w:sz w:val="20"/>
          <w:szCs w:val="20"/>
          <w:color w:val="auto"/>
        </w:rPr>
      </w:pPr>
    </w:p>
    <w:p>
      <w:pPr>
        <w:jc w:val="both"/>
        <w:ind w:left="4" w:right="240"/>
        <w:spacing w:after="0" w:line="282" w:lineRule="auto"/>
        <w:rPr>
          <w:sz w:val="20"/>
          <w:szCs w:val="20"/>
          <w:color w:val="auto"/>
        </w:rPr>
      </w:pPr>
      <w:r>
        <w:rPr>
          <w:rFonts w:ascii="Times New Roman" w:cs="Times New Roman" w:eastAsia="Times New Roman" w:hAnsi="Times New Roman"/>
          <w:sz w:val="18"/>
          <w:szCs w:val="18"/>
          <w:color w:val="auto"/>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No Disqualification</w:t>
      </w:r>
    </w:p>
    <w:p>
      <w:pPr>
        <w:spacing w:after="0" w:line="121"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b w:val="1"/>
          <w:bCs w:val="1"/>
          <w:color w:val="auto"/>
        </w:rPr>
        <w:t>Professional Services by Director or Officer</w:t>
      </w:r>
    </w:p>
    <w:p>
      <w:pPr>
        <w:spacing w:after="0" w:line="119" w:lineRule="exact"/>
        <w:rPr>
          <w:sz w:val="20"/>
          <w:szCs w:val="20"/>
          <w:color w:val="auto"/>
        </w:rPr>
      </w:pPr>
    </w:p>
    <w:p>
      <w:pPr>
        <w:jc w:val="both"/>
        <w:ind w:left="4" w:right="420"/>
        <w:spacing w:after="0" w:line="267"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b w:val="1"/>
          <w:bCs w:val="1"/>
          <w:color w:val="auto"/>
        </w:rPr>
        <w:t>Director or Officer in Other Corporations</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 xml:space="preserve">A director or officer may be or become a director, officer or employee of, or otherwise interested in, any person in which the Company may be interested as a shareholder or otherwise, and,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director or officer is not accountable to the Company for any remuneration or other benefits received by him or her as director, officer or employee of, or from his or her interest in, such other person.</w:t>
      </w:r>
    </w:p>
    <w:p>
      <w:pPr>
        <w:spacing w:after="0" w:line="77" w:lineRule="exact"/>
        <w:rPr>
          <w:sz w:val="20"/>
          <w:szCs w:val="20"/>
          <w:color w:val="auto"/>
        </w:rPr>
      </w:pPr>
    </w:p>
    <w:p>
      <w:pPr>
        <w:ind w:left="4" w:right="7740" w:hanging="4"/>
        <w:spacing w:after="0" w:line="427" w:lineRule="auto"/>
        <w:tabs>
          <w:tab w:leader="none" w:pos="54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 18.1 Meetings of Directors</w:t>
      </w:r>
    </w:p>
    <w:p>
      <w:pPr>
        <w:spacing w:after="0" w:line="37" w:lineRule="exact"/>
        <w:rPr>
          <w:sz w:val="20"/>
          <w:szCs w:val="20"/>
          <w:color w:val="auto"/>
        </w:rPr>
      </w:pPr>
    </w:p>
    <w:p>
      <w:pPr>
        <w:jc w:val="both"/>
        <w:ind w:left="4" w:right="560"/>
        <w:spacing w:after="0" w:line="312" w:lineRule="auto"/>
        <w:rPr>
          <w:sz w:val="20"/>
          <w:szCs w:val="20"/>
          <w:color w:val="auto"/>
        </w:rPr>
      </w:pPr>
      <w:r>
        <w:rPr>
          <w:rFonts w:ascii="Times New Roman" w:cs="Times New Roman" w:eastAsia="Times New Roman" w:hAnsi="Times New Roman"/>
          <w:sz w:val="17"/>
          <w:szCs w:val="17"/>
          <w:color w:val="auto"/>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004"/>
          </w:cols>
          <w:pgMar w:left="436" w:top="270" w:right="459" w:bottom="1440" w:gutter="0" w:footer="0" w:header="0"/>
        </w:sectPr>
      </w:pPr>
    </w:p>
    <w:bookmarkStart w:id="40" w:name="page41"/>
    <w:bookmarkEnd w:id="4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18.2</w:t>
      </w:r>
      <w:r>
        <w:rPr>
          <w:sz w:val="20"/>
          <w:szCs w:val="20"/>
          <w:color w:val="auto"/>
        </w:rPr>
        <w:tab/>
      </w:r>
      <w:r>
        <w:rPr>
          <w:rFonts w:ascii="Times New Roman" w:cs="Times New Roman" w:eastAsia="Times New Roman" w:hAnsi="Times New Roman"/>
          <w:sz w:val="17"/>
          <w:szCs w:val="17"/>
          <w:b w:val="1"/>
          <w:bCs w:val="1"/>
          <w:color w:val="auto"/>
        </w:rPr>
        <w:t>Voting at Meetings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Questions arising at any meeting of directors are to be decided by a majority of votes and, in the case of an equality of votes, the chair of the meeting does not have a second or casting vote.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Chair of Meetings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individual is entitled to preside as chair at a meeting of directors:</w:t>
      </w:r>
    </w:p>
    <w:p>
      <w:pPr>
        <w:spacing w:after="0" w:line="131" w:lineRule="exact"/>
        <w:rPr>
          <w:sz w:val="20"/>
          <w:szCs w:val="20"/>
          <w:color w:val="auto"/>
        </w:rPr>
      </w:pPr>
    </w:p>
    <w:p>
      <w:pPr>
        <w:ind w:left="1180" w:hanging="644"/>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board, if any;</w:t>
      </w:r>
    </w:p>
    <w:p>
      <w:pPr>
        <w:spacing w:after="0" w:line="131" w:lineRule="exact"/>
        <w:rPr>
          <w:sz w:val="20"/>
          <w:szCs w:val="20"/>
          <w:color w:val="auto"/>
        </w:rPr>
      </w:pPr>
    </w:p>
    <w:p>
      <w:pPr>
        <w:ind w:left="1180" w:hanging="644"/>
        <w:spacing w:after="0"/>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the chair of the board, the president, if any, if the president is a director;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director chosen by the directors if:</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chair of the board nor the president, if a director, is present at the meeting within 15 minutes after the time set for holding the meeting;</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chair of the board nor the president, if a director, is willing to chair the meeting; or</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board and the president, if a director, have advised the secretary, if any, or any other director, that they will not be present at the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Meetings by Telephone or Other Communications Medium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may participate in a meeting of the directors or of any committee of the directors:</w:t>
      </w:r>
    </w:p>
    <w:p>
      <w:pPr>
        <w:spacing w:after="0" w:line="131" w:lineRule="exact"/>
        <w:rPr>
          <w:sz w:val="20"/>
          <w:szCs w:val="20"/>
          <w:color w:val="auto"/>
        </w:rPr>
      </w:pPr>
    </w:p>
    <w:p>
      <w:pPr>
        <w:ind w:left="1180" w:hanging="644"/>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w:t>
      </w:r>
    </w:p>
    <w:p>
      <w:pPr>
        <w:spacing w:after="0" w:line="131" w:lineRule="exact"/>
        <w:rPr>
          <w:sz w:val="20"/>
          <w:szCs w:val="20"/>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all directors who wish to participate in the meeting, by other communications medium;</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if all directors participating in the meeting, whether in person or by telephone or other communications medium, are able to communicate with each other. A director who participates in a meeting in a manner contemplated by this Article I 8.4 is deemed for all purposes of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and these Articles to be present at the meeting and to have agreed to participate in that manner.</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Calling of Meetings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director may, and the secretary or an assistant secretary of the Company, if any, on the request of a director must, call a meeting of the directors at any time.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Notice of Meetings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than for meetings held at regular intervals as determined by the directors pursuant to Article 18.1 or as provided in Article 18.7, reasonable notice of each meeting of the directors, specifying the place, day and time of that meeting must be given to each of the directors and the alternate directors by any method set out in Article 24.1 or orally or by telephone.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When Notice Not Required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necessary to give notice of a meeting of the directors to a director or an alternate director if:</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0960"/>
          </w:cols>
          <w:pgMar w:left="440" w:top="266" w:right="499" w:bottom="1440" w:gutter="0" w:footer="0" w:header="0"/>
        </w:sectPr>
      </w:pPr>
    </w:p>
    <w:bookmarkStart w:id="41" w:name="page42"/>
    <w:bookmarkEnd w:id="41"/>
    <w:p>
      <w:pPr>
        <w:ind w:left="1180" w:right="380" w:hanging="644"/>
        <w:spacing w:after="0" w:line="282" w:lineRule="auto"/>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meeting is to be held immediately following a meeting of shareholders at which that director was elected or appointed, or is the meeting of the directors at which that director is appointed;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alternate director, as the case may be, has waived notice of the meeting.</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7"/>
          <w:szCs w:val="17"/>
          <w:b w:val="1"/>
          <w:bCs w:val="1"/>
          <w:color w:val="auto"/>
        </w:rPr>
        <w:t>Meeting Valid Despite Failure to Give Notice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accidental omission to give notice of any meeting of directors to, or the non-receipt of any notice by, any director or alternate director, does not invalidate any proceedings at that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7"/>
          <w:szCs w:val="17"/>
          <w:b w:val="1"/>
          <w:bCs w:val="1"/>
          <w:color w:val="auto"/>
        </w:rPr>
        <w:t>Waiver of Notice of Meetings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or,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 Attendance of a director or alternate director at a meeting of the directors is a waiver of notice of the meeting unless that director or alternate director attends the meeting for the express purpose of objecting to the transaction of any business on the grounds that the meeting is not lawfully called.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18.10  Quorum</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quorum necessary for the transaction of the business of the directors may be set by the directors and, if not so set, is deemed to be set at two directors or, if the number of directors is set at one, is deemed to be set at one director, and that director may constitute a meeting.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18.11  Validity of Acts Where Appointment Defective</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 act of a director or officer is not invalid merely because of an irregularity in the election or appointment or a defect in the qualification of that director or officer.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18.12  Consent Resolutions in Writing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resolution of the directors or of any committee of the directors may be passed without a meeting:</w:t>
      </w:r>
    </w:p>
    <w:p>
      <w:pPr>
        <w:spacing w:after="0" w:line="131" w:lineRule="exact"/>
        <w:rPr>
          <w:sz w:val="20"/>
          <w:szCs w:val="20"/>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cases, if each of the directors entitled to vote on the resolution consents to it in writing; or</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approve a contract or transaction in respect of which a director has disclosed that he or she has or may have a disclosable interest, if each of the other directors who have not made such a disclosure consents in writing to the resolution.</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 consent in writing under this Article 18.12 may be by any written instrument, fax, e-mail or any other method of transmitting legibly recorded messages in which the consent of the director is evidenced, whether or not the signature of the director is included in the record. A consent in writing may be in two or more counterparts which together are deemed to constitute one consent in writing. A resolution of the directors or of any committee of the directors passed in accordance with this Article 18.12 is effective on the date stated in the consent in writing or on the latest date stated on any counterpart and is deemed to be a proceeding at a meeting of the directors or of the committee of the directors and to be as valid and effective as if it had been passed at a meeting of the directors or of the committee of the directors that satisfies all the requirements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all the requirements of these Articles relating to meetings of the directors or of a committee of the directors.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0"/>
          </w:cols>
          <w:pgMar w:left="440" w:top="270" w:right="459" w:bottom="1440" w:gutter="0" w:footer="0" w:header="0"/>
        </w:sectPr>
      </w:pPr>
    </w:p>
    <w:bookmarkStart w:id="42" w:name="page43"/>
    <w:bookmarkEnd w:id="42"/>
    <w:p>
      <w:pPr>
        <w:ind w:left="544" w:hanging="544"/>
        <w:spacing w:after="0"/>
        <w:tabs>
          <w:tab w:leader="none" w:pos="544"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AND OTHER COMMITTEES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Appointment and Powers of Executive Committee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directors may, by resolution, appoint an executive committee consisting of the director or directors that they consider appropriate, and during the intervals between meetings of the board of directors all of the directors’ powers are delegated to the executive committee, except:</w:t>
      </w:r>
    </w:p>
    <w:p>
      <w:pPr>
        <w:spacing w:after="0" w:line="67" w:lineRule="exact"/>
        <w:rPr>
          <w:sz w:val="20"/>
          <w:szCs w:val="20"/>
          <w:color w:val="auto"/>
        </w:rPr>
      </w:pPr>
    </w:p>
    <w:p>
      <w:pPr>
        <w:ind w:left="1184" w:hanging="644"/>
        <w:spacing w:after="0"/>
        <w:tabs>
          <w:tab w:leader="none" w:pos="11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fill vacancies in the board of directors;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remove a director;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change the membership of, or fill vacancies in, any committee of the directors;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powers, if any, as may be set out in the resolution or any subsequent directors’ resolution.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Appointment and Powers of Other Committees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 may, by resolution:</w:t>
      </w:r>
    </w:p>
    <w:p>
      <w:pPr>
        <w:spacing w:after="0" w:line="131" w:lineRule="exact"/>
        <w:rPr>
          <w:sz w:val="20"/>
          <w:szCs w:val="20"/>
          <w:color w:val="auto"/>
        </w:rPr>
      </w:pPr>
    </w:p>
    <w:p>
      <w:pPr>
        <w:ind w:left="1184" w:right="580" w:hanging="644"/>
        <w:spacing w:after="0" w:line="282" w:lineRule="auto"/>
        <w:tabs>
          <w:tab w:leader="none" w:pos="11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one or more committees (other than the executive committee) consisting of the director or directors that they consider appropriate;</w:t>
      </w:r>
    </w:p>
    <w:p>
      <w:pPr>
        <w:spacing w:after="0" w:line="67" w:lineRule="exact"/>
        <w:rPr>
          <w:sz w:val="20"/>
          <w:szCs w:val="20"/>
          <w:color w:val="auto"/>
        </w:rPr>
      </w:pPr>
    </w:p>
    <w:p>
      <w:pPr>
        <w:ind w:left="1184" w:hanging="644"/>
        <w:spacing w:after="0"/>
        <w:tabs>
          <w:tab w:leader="none" w:pos="118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 committee appointed under paragraph (I) any of the directors’ powers, except: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fill vacancies in the board of directors;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remove a director;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change the membership of, or fill vacancies in, any committee of the directors;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appoint or remove officers appointed by the directors; and</w:t>
      </w:r>
    </w:p>
    <w:p>
      <w:pPr>
        <w:spacing w:after="0" w:line="130" w:lineRule="exact"/>
        <w:rPr>
          <w:rFonts w:ascii="Times New Roman" w:cs="Times New Roman" w:eastAsia="Times New Roman" w:hAnsi="Times New Roman"/>
          <w:sz w:val="18"/>
          <w:szCs w:val="18"/>
          <w:color w:val="auto"/>
        </w:rPr>
      </w:pPr>
    </w:p>
    <w:p>
      <w:pPr>
        <w:ind w:left="1184" w:right="540" w:hanging="644"/>
        <w:spacing w:after="0" w:line="282" w:lineRule="auto"/>
        <w:tabs>
          <w:tab w:leader="none" w:pos="118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delegation referred to in paragraph (2) subject to the conditions set out in the resolution or any subsequent directors’ resolution.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Obligations of Committees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committee appointed under Articles 19.1 or 19.2, in the exercise of the powers delegated to it, must:</w:t>
      </w:r>
    </w:p>
    <w:p>
      <w:pPr>
        <w:spacing w:after="0" w:line="131" w:lineRule="exact"/>
        <w:rPr>
          <w:sz w:val="20"/>
          <w:szCs w:val="20"/>
          <w:color w:val="auto"/>
        </w:rPr>
      </w:pPr>
    </w:p>
    <w:p>
      <w:pPr>
        <w:ind w:left="1184" w:hanging="644"/>
        <w:spacing w:after="0"/>
        <w:tabs>
          <w:tab w:leader="none" w:pos="1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any rules that may from time to time be imposed on it by the directors;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every act or thing done in exercise of those powers at such times as the directors may require.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Powers of Board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 may, at any time, with respect to a committee appointed under Articles 19.1 or 19.2:</w:t>
      </w:r>
    </w:p>
    <w:p>
      <w:pPr>
        <w:spacing w:after="0" w:line="131" w:lineRule="exact"/>
        <w:rPr>
          <w:sz w:val="20"/>
          <w:szCs w:val="20"/>
          <w:color w:val="auto"/>
        </w:rPr>
      </w:pPr>
    </w:p>
    <w:p>
      <w:pPr>
        <w:ind w:left="1184" w:hanging="644"/>
        <w:spacing w:after="0" w:line="282" w:lineRule="auto"/>
        <w:tabs>
          <w:tab w:leader="none" w:pos="1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or alter the authority given to the committee, or override a decision made by the committee, except as to acts done before such revocation, alteration or overriding;</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appointment of, or change the membership of, the committee; and</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0824"/>
          </w:cols>
          <w:pgMar w:left="436" w:top="266" w:right="639" w:bottom="1440" w:gutter="0" w:footer="0" w:header="0"/>
        </w:sectPr>
      </w:pPr>
    </w:p>
    <w:bookmarkStart w:id="43" w:name="page44"/>
    <w:bookmarkEnd w:id="43"/>
    <w:p>
      <w:pPr>
        <w:ind w:left="1184" w:hanging="644"/>
        <w:spacing w:after="0"/>
        <w:tabs>
          <w:tab w:leader="none" w:pos="11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fill vacancies in the committee.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Committee Meetings</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Subject to Article 19.3(1) and unless the directors otherwise provide in the resolution appointing the committee or in any subsequent resolution, with respect to a committee appointed under Articles 19.1 or 19.2:</w:t>
      </w:r>
    </w:p>
    <w:p>
      <w:pPr>
        <w:spacing w:after="0" w:line="67" w:lineRule="exact"/>
        <w:rPr>
          <w:sz w:val="20"/>
          <w:szCs w:val="20"/>
          <w:color w:val="auto"/>
        </w:rPr>
      </w:pPr>
    </w:p>
    <w:p>
      <w:pPr>
        <w:ind w:left="1184" w:hanging="644"/>
        <w:spacing w:after="0"/>
        <w:tabs>
          <w:tab w:leader="none" w:pos="1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meet and adjourn as it thinks proper;</w:t>
      </w:r>
    </w:p>
    <w:p>
      <w:pPr>
        <w:spacing w:after="0" w:line="130"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committee constitutes a quorum of the committee; and</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arising at any meeting of the committee are determined by a majority of votes of the members present, and in the case of an equality of votes, the chair of the meeting does not have a second or casting vote.</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Directors May Appoint Officers</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directors may, from time to time, appoint such officers, if any, as the directors determine and the directors may, at any time, terminate any such appointment.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Functions, Duties and Powers of Officers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 may, for each officer:</w:t>
      </w:r>
    </w:p>
    <w:p>
      <w:pPr>
        <w:spacing w:after="0" w:line="131" w:lineRule="exact"/>
        <w:rPr>
          <w:sz w:val="20"/>
          <w:szCs w:val="20"/>
          <w:color w:val="auto"/>
        </w:rPr>
      </w:pPr>
    </w:p>
    <w:p>
      <w:pPr>
        <w:ind w:left="1184" w:hanging="644"/>
        <w:spacing w:after="0"/>
        <w:tabs>
          <w:tab w:leader="none" w:pos="1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functions and duties of the officer;</w:t>
      </w:r>
    </w:p>
    <w:p>
      <w:pPr>
        <w:spacing w:after="0" w:line="131" w:lineRule="exact"/>
        <w:rPr>
          <w:sz w:val="20"/>
          <w:szCs w:val="20"/>
          <w:color w:val="auto"/>
        </w:rPr>
      </w:pPr>
    </w:p>
    <w:p>
      <w:pPr>
        <w:ind w:left="1184" w:right="260" w:hanging="644"/>
        <w:spacing w:after="0" w:line="282" w:lineRule="auto"/>
        <w:tabs>
          <w:tab w:leader="none" w:pos="118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the officer any of the powers exercisable by the directors on such terms and conditions and with such restrictions as the directors think fit;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withdraw, alter or vary all or any of the functions, duties and powers of the officer.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Qualifications</w:t>
      </w:r>
    </w:p>
    <w:p>
      <w:pPr>
        <w:spacing w:after="0" w:line="119" w:lineRule="exact"/>
        <w:rPr>
          <w:sz w:val="20"/>
          <w:szCs w:val="20"/>
          <w:color w:val="auto"/>
        </w:rPr>
      </w:pPr>
    </w:p>
    <w:p>
      <w:pPr>
        <w:ind w:left="4" w:right="160"/>
        <w:spacing w:after="0" w:line="267" w:lineRule="auto"/>
        <w:rPr>
          <w:sz w:val="20"/>
          <w:szCs w:val="20"/>
          <w:color w:val="auto"/>
        </w:rPr>
      </w:pPr>
      <w:r>
        <w:rPr>
          <w:rFonts w:ascii="Times New Roman" w:cs="Times New Roman" w:eastAsia="Times New Roman" w:hAnsi="Times New Roman"/>
          <w:sz w:val="18"/>
          <w:szCs w:val="18"/>
          <w:color w:val="auto"/>
        </w:rPr>
        <w:t xml:space="preserve">No officer may be appointed unless that officer is qualified in accordance with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One person may hold more than one position as an officer of the Company. Any person appointed as the chair of the board or as a managing director must be a director. Any other officer need not be a director.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Remuneration and Terms of Appointment</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All appointments of officers are to be made on the terms and conditions and at the remuneration (whether by way of salary, fee, commission, participation in profits or otherwise) that the directors think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11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0864"/>
          </w:cols>
          <w:pgMar w:left="436" w:top="270" w:right="599" w:bottom="1440" w:gutter="0" w:footer="0" w:header="0"/>
        </w:sectPr>
      </w:pPr>
    </w:p>
    <w:bookmarkStart w:id="44" w:name="page45"/>
    <w:bookmarkEnd w:id="44"/>
    <w:p>
      <w:pPr>
        <w:ind w:left="4" w:right="8740" w:hanging="4"/>
        <w:spacing w:after="0" w:line="408" w:lineRule="auto"/>
        <w:tabs>
          <w:tab w:leader="none" w:pos="544"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21.1 Definitions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Article 21:</w:t>
      </w:r>
    </w:p>
    <w:p>
      <w:pPr>
        <w:spacing w:after="0" w:line="131" w:lineRule="exact"/>
        <w:rPr>
          <w:sz w:val="20"/>
          <w:szCs w:val="20"/>
          <w:color w:val="auto"/>
        </w:rPr>
      </w:pPr>
    </w:p>
    <w:p>
      <w:pPr>
        <w:ind w:left="1184" w:hanging="644"/>
        <w:spacing w:after="0"/>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penalty” means a judgment, penalty or fine awarded or imposed in, or an amount paid in settlement of, an eligible proceeding;</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9" w:lineRule="auto"/>
        <w:tabs>
          <w:tab w:leader="none" w:pos="118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“eligible proceeding” means a legal proceeding or investigative action, whether current, threatened, pending or completed, in which a director, former director or alternate director of the Company (an “eligible party”) or any of the heirs and legal personal representatives of the eligible party, by reason of the eligible party being or having been a director or alternate director of the Company:</w:t>
      </w:r>
    </w:p>
    <w:p>
      <w:pPr>
        <w:spacing w:after="0" w:line="63" w:lineRule="exact"/>
        <w:rPr>
          <w:rFonts w:ascii="Times New Roman" w:cs="Times New Roman" w:eastAsia="Times New Roman" w:hAnsi="Times New Roman"/>
          <w:sz w:val="17"/>
          <w:szCs w:val="17"/>
          <w:color w:val="auto"/>
        </w:rPr>
      </w:pPr>
    </w:p>
    <w:p>
      <w:pPr>
        <w:ind w:left="1744" w:hanging="543"/>
        <w:spacing w:after="0"/>
        <w:tabs>
          <w:tab w:leader="none" w:pos="174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may be joined as a party;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may be liable for or in respect of a judgment, penalty or fine in, or expenses related to, the proceeding;</w:t>
      </w:r>
    </w:p>
    <w:p>
      <w:pPr>
        <w:spacing w:after="0" w:line="12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has the meaning set out in the </w:t>
      </w:r>
      <w:r>
        <w:rPr>
          <w:rFonts w:ascii="Times New Roman" w:cs="Times New Roman" w:eastAsia="Times New Roman" w:hAnsi="Times New Roman"/>
          <w:sz w:val="18"/>
          <w:szCs w:val="18"/>
          <w:i w:val="1"/>
          <w:iCs w:val="1"/>
          <w:color w:val="auto"/>
        </w:rPr>
        <w:t>Business Corporations Act.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Mandatory Indemnification of Directors</w:t>
      </w:r>
    </w:p>
    <w:p>
      <w:pPr>
        <w:spacing w:after="0" w:line="11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must indemnify a director, former director or alternate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and alternate director is deemed to have contracted with the Company on the terms of the indemnity contained in this Article 21.2.</w:t>
      </w:r>
    </w:p>
    <w:p>
      <w:pPr>
        <w:spacing w:after="0" w:line="8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Permitted Indemnification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Subject to any restrictions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Company may indemnify any person.</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Non-Compliance with Business Corporations Act</w:t>
      </w:r>
    </w:p>
    <w:p>
      <w:pPr>
        <w:spacing w:after="0" w:line="119" w:lineRule="exact"/>
        <w:rPr>
          <w:sz w:val="20"/>
          <w:szCs w:val="20"/>
          <w:color w:val="auto"/>
        </w:rPr>
      </w:pPr>
    </w:p>
    <w:p>
      <w:pPr>
        <w:ind w:left="4" w:right="240"/>
        <w:spacing w:after="0" w:line="284" w:lineRule="auto"/>
        <w:rPr>
          <w:sz w:val="20"/>
          <w:szCs w:val="20"/>
          <w:color w:val="auto"/>
        </w:rPr>
      </w:pPr>
      <w:r>
        <w:rPr>
          <w:rFonts w:ascii="Times New Roman" w:cs="Times New Roman" w:eastAsia="Times New Roman" w:hAnsi="Times New Roman"/>
          <w:sz w:val="18"/>
          <w:szCs w:val="18"/>
          <w:color w:val="auto"/>
        </w:rPr>
        <w:t xml:space="preserve">The failure of a director, alternate director or officer of the Company to comply with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 these Articles or, if applicable, any former Companies Act or former Articles, does not invalidate any indemnity to which he or she is entitled under this Part 21.</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Company May Purchase Insurance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may purchase and maintain insurance for the benefit of any person (or his or her heirs or legal personal representatives) who:</w:t>
      </w:r>
    </w:p>
    <w:p>
      <w:pPr>
        <w:spacing w:after="0" w:line="131" w:lineRule="exact"/>
        <w:rPr>
          <w:sz w:val="20"/>
          <w:szCs w:val="20"/>
          <w:color w:val="auto"/>
        </w:rPr>
      </w:pPr>
    </w:p>
    <w:p>
      <w:pPr>
        <w:ind w:left="1184" w:hanging="644"/>
        <w:spacing w:after="0"/>
        <w:tabs>
          <w:tab w:leader="none" w:pos="1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alternate director, officer, employee or agent of the Company;</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alternate director, officer, employee or agent of a corporation at a time when the corporation is or was an affiliate of the Company;</w:t>
      </w:r>
    </w:p>
    <w:p>
      <w:pPr>
        <w:spacing w:after="0" w:line="67"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is or was a director, alternate director, officer, employee or agent of a corporation or of a partnership, trust, joint venture or other unincorporated entity; or</w:t>
      </w:r>
    </w:p>
    <w:p>
      <w:pPr>
        <w:spacing w:after="0" w:line="67"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holds or held a position equivalent to that of a director, alternate director or officer of a partnership, trust, joint venture or other unincorporated entity;</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0984"/>
          </w:cols>
          <w:pgMar w:left="436" w:top="266" w:right="479" w:bottom="1440" w:gutter="0" w:footer="0" w:header="0"/>
        </w:sectPr>
      </w:pPr>
    </w:p>
    <w:bookmarkStart w:id="45" w:name="page46"/>
    <w:bookmarkEnd w:id="45"/>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against any liability incurred by him or her as such director, alternate director, officer, employee or agent or person who holds or held such equivalent position.</w:t>
      </w:r>
    </w:p>
    <w:p>
      <w:pPr>
        <w:spacing w:after="0" w:line="63" w:lineRule="exact"/>
        <w:rPr>
          <w:sz w:val="20"/>
          <w:szCs w:val="20"/>
          <w:color w:val="auto"/>
        </w:rPr>
      </w:pPr>
    </w:p>
    <w:p>
      <w:pPr>
        <w:ind w:left="544" w:hanging="544"/>
        <w:spacing w:after="0"/>
        <w:tabs>
          <w:tab w:leader="none" w:pos="54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Payment of Dividends Subject to Special Rights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provisions of this Part 22 are subject to the rights, if any, of shareholders holding shares with special rights as to dividends.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Declaration of Dividends</w:t>
      </w:r>
    </w:p>
    <w:p>
      <w:pPr>
        <w:spacing w:after="0" w:line="119" w:lineRule="exact"/>
        <w:rPr>
          <w:sz w:val="20"/>
          <w:szCs w:val="20"/>
          <w:color w:val="auto"/>
        </w:rPr>
      </w:pPr>
    </w:p>
    <w:p>
      <w:pPr>
        <w:ind w:left="4" w:right="160"/>
        <w:spacing w:after="0" w:line="284" w:lineRule="auto"/>
        <w:rPr>
          <w:sz w:val="20"/>
          <w:szCs w:val="20"/>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directors may from time to time declare and authorize payment of such dividends as they may consider appropriate.</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No Notice Required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 need not give notice to any shareholder of any declaration under Article 22.2.</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Record Date</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22.5</w:t>
        <w:tab/>
        <w:t>Manner of Paying Dividend</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 resolution declaring a dividend may direct payment of the dividend wholly or partly in money or by the distribution of specific assets or of fully paid shares or of bonds, debentures or other securities of the Company or any other corporation, or in any one or more of those ways.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22.6</w:t>
      </w:r>
      <w:r>
        <w:rPr>
          <w:sz w:val="20"/>
          <w:szCs w:val="20"/>
          <w:color w:val="auto"/>
        </w:rPr>
        <w:tab/>
      </w:r>
      <w:r>
        <w:rPr>
          <w:rFonts w:ascii="Times New Roman" w:cs="Times New Roman" w:eastAsia="Times New Roman" w:hAnsi="Times New Roman"/>
          <w:sz w:val="17"/>
          <w:szCs w:val="17"/>
          <w:b w:val="1"/>
          <w:bCs w:val="1"/>
          <w:color w:val="auto"/>
        </w:rPr>
        <w:t>Settlement of Difficulties</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If any difficulty arises in regard to a distribution under Article 22.5, the directors may settle the difficulty as they deem advisable, and, in particular, may:</w:t>
      </w:r>
    </w:p>
    <w:p>
      <w:pPr>
        <w:spacing w:after="0" w:line="67" w:lineRule="exact"/>
        <w:rPr>
          <w:sz w:val="20"/>
          <w:szCs w:val="20"/>
          <w:color w:val="auto"/>
        </w:rPr>
      </w:pPr>
    </w:p>
    <w:p>
      <w:pPr>
        <w:ind w:left="1184" w:hanging="644"/>
        <w:spacing w:after="0"/>
        <w:tabs>
          <w:tab w:leader="none" w:pos="1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value for distribution of specific assets;</w:t>
      </w:r>
    </w:p>
    <w:p>
      <w:pPr>
        <w:spacing w:after="0" w:line="131" w:lineRule="exact"/>
        <w:rPr>
          <w:sz w:val="20"/>
          <w:szCs w:val="20"/>
          <w:color w:val="auto"/>
        </w:rPr>
      </w:pPr>
    </w:p>
    <w:p>
      <w:pPr>
        <w:ind w:left="1184" w:right="40" w:hanging="644"/>
        <w:spacing w:after="0" w:line="282" w:lineRule="auto"/>
        <w:tabs>
          <w:tab w:leader="none" w:pos="118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money in substitution for all or any part of the specific assets to which any shareholders are entitled may be paid to any shareholders on the basis of the value so fixed in order to adjust the rights of all parties;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any such specific assets in trustees for the persons entitled to the dividend.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When Dividend Payable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dividend may be made payable on such date as is fixed by the directors.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Dividends to be Paid in Accordance with Number of Shares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dividends on shares of any class or series of shares must be declared and paid according to the number of such shares held.</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0884"/>
          </w:cols>
          <w:pgMar w:left="436" w:top="270" w:right="579" w:bottom="1440" w:gutter="0" w:footer="0" w:header="0"/>
        </w:sectPr>
      </w:pPr>
    </w:p>
    <w:bookmarkStart w:id="46" w:name="page47"/>
    <w:bookmarkEnd w:id="4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22.9</w:t>
      </w:r>
      <w:r>
        <w:rPr>
          <w:sz w:val="20"/>
          <w:szCs w:val="20"/>
          <w:color w:val="auto"/>
        </w:rPr>
        <w:tab/>
      </w:r>
      <w:r>
        <w:rPr>
          <w:rFonts w:ascii="Times New Roman" w:cs="Times New Roman" w:eastAsia="Times New Roman" w:hAnsi="Times New Roman"/>
          <w:sz w:val="17"/>
          <w:szCs w:val="17"/>
          <w:b w:val="1"/>
          <w:bCs w:val="1"/>
          <w:color w:val="auto"/>
        </w:rPr>
        <w:t>Receipt by Joint Shareholders</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If several persons are joint shareholders of any share, any one of them may give an effective receipt for any dividend, bonus or other money payable in respect of the share.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22.10  Dividend Bears No Interest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dividend bears interest against the Company.</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22.11  Fractional Dividends</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22.12  Payment of Dividends</w:t>
      </w:r>
    </w:p>
    <w:p>
      <w:pPr>
        <w:spacing w:after="0" w:line="121" w:lineRule="exact"/>
        <w:rPr>
          <w:sz w:val="20"/>
          <w:szCs w:val="20"/>
          <w:color w:val="auto"/>
        </w:rPr>
      </w:pPr>
    </w:p>
    <w:p>
      <w:pPr>
        <w:ind w:left="4" w:right="20"/>
        <w:spacing w:after="0" w:line="277" w:lineRule="auto"/>
        <w:rPr>
          <w:sz w:val="20"/>
          <w:szCs w:val="20"/>
          <w:color w:val="auto"/>
        </w:rPr>
      </w:pPr>
      <w:r>
        <w:rPr>
          <w:rFonts w:ascii="Times New Roman" w:cs="Times New Roman" w:eastAsia="Times New Roman" w:hAnsi="Times New Roman"/>
          <w:sz w:val="17"/>
          <w:szCs w:val="17"/>
          <w:color w:val="auto"/>
        </w:rPr>
        <w:t>Any dividend or other distribution payable in money in respect of shares may be paid by cheque, made payable to the order of the person to whom it is sent, and mailed to the registered address of the shareholder, or in the case of joint shareholders, to the registered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22.13  Capitalization of Retained Earnings or Surplus</w:t>
      </w:r>
    </w:p>
    <w:p>
      <w:pPr>
        <w:spacing w:after="0" w:line="121"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in these Articles, the directors may from time to time capitalize any retained earnings or surplus of the Company and may from time to time issue, as fully paid, shares or any bonds, debentures or other securities of the Company as a dividend representing the retained earnings or surplus so capitalized or any part thereof.</w:t>
      </w:r>
    </w:p>
    <w:p>
      <w:pPr>
        <w:spacing w:after="0" w:line="77" w:lineRule="exact"/>
        <w:rPr>
          <w:sz w:val="20"/>
          <w:szCs w:val="20"/>
          <w:color w:val="auto"/>
        </w:rPr>
      </w:pPr>
    </w:p>
    <w:p>
      <w:pPr>
        <w:ind w:left="4" w:right="6920" w:hanging="4"/>
        <w:spacing w:after="0" w:line="385" w:lineRule="auto"/>
        <w:tabs>
          <w:tab w:leader="none" w:pos="5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RECORDS AND AUDITOR 23.1 Recording of Financial Affairs</w:t>
      </w:r>
    </w:p>
    <w:p>
      <w:pPr>
        <w:spacing w:after="0" w:line="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 xml:space="preserve">The directors must cause adequate accounting records to be kept to record properly the financial affairs and condition of the Company and to comply with the </w:t>
      </w:r>
      <w:r>
        <w:rPr>
          <w:rFonts w:ascii="Times New Roman" w:cs="Times New Roman" w:eastAsia="Times New Roman" w:hAnsi="Times New Roman"/>
          <w:sz w:val="18"/>
          <w:szCs w:val="18"/>
          <w:i w:val="1"/>
          <w:iCs w:val="1"/>
          <w:color w:val="auto"/>
        </w:rPr>
        <w:t>Business Corporations Act.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23.2</w:t>
        <w:tab/>
        <w:t>Inspection of Accounting Records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Unless the directors determine otherwise, or unless otherwise determined by ordinary resolution, no shareholder of the Company is entitled to inspect or obtain a copy of any accounting records of the Company.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Remuneration of Auditor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 may set the remuneration of the auditor of the Company.</w:t>
      </w:r>
    </w:p>
    <w:p>
      <w:pPr>
        <w:spacing w:after="0" w:line="127" w:lineRule="exact"/>
        <w:rPr>
          <w:sz w:val="20"/>
          <w:szCs w:val="20"/>
          <w:color w:val="auto"/>
        </w:rPr>
      </w:pPr>
    </w:p>
    <w:p>
      <w:pPr>
        <w:ind w:left="544" w:hanging="544"/>
        <w:spacing w:after="0"/>
        <w:tabs>
          <w:tab w:leader="none" w:pos="54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24.1</w:t>
        <w:tab/>
        <w:t>Method of Giving Notice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Unless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 these Articles provide otherwise, a notice, statement, report or other record required or permitted by the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Business Corporations Act </w:t>
      </w:r>
      <w:r>
        <w:rPr>
          <w:rFonts w:ascii="Times New Roman" w:cs="Times New Roman" w:eastAsia="Times New Roman" w:hAnsi="Times New Roman"/>
          <w:sz w:val="18"/>
          <w:szCs w:val="18"/>
          <w:color w:val="auto"/>
        </w:rPr>
        <w:t>or these Articles to be sent by or to a person may be sent by any one of the following methods:</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964"/>
          </w:cols>
          <w:pgMar w:left="436" w:top="266" w:right="499" w:bottom="1440" w:gutter="0" w:footer="0" w:header="0"/>
        </w:sectPr>
      </w:pPr>
    </w:p>
    <w:bookmarkStart w:id="47" w:name="page48"/>
    <w:bookmarkEnd w:id="47"/>
    <w:p>
      <w:pPr>
        <w:ind w:left="1180" w:hanging="644"/>
        <w:spacing w:after="0"/>
        <w:tabs>
          <w:tab w:leader="none" w:pos="1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mail addressed to the person at the applicable address for that person as follows: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record mailed to a shareholder, the shareholder’s registered address;</w:t>
      </w:r>
    </w:p>
    <w:p>
      <w:pPr>
        <w:spacing w:after="0" w:line="130"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record mailed to a director or officer, the prescribed address for mailing shown for the director or officer in the records kept by the Company or the mailing address provided by the recipient for the sending of that record or records of that class;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mailing address of the intended recipient;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at the applicable address for that person as follows, addressed to the person:</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record delivered to a shareholder, the shareholder’s registered address;</w:t>
      </w:r>
    </w:p>
    <w:p>
      <w:pPr>
        <w:spacing w:after="0" w:line="130" w:lineRule="exact"/>
        <w:rPr>
          <w:rFonts w:ascii="Times New Roman" w:cs="Times New Roman" w:eastAsia="Times New Roman" w:hAnsi="Times New Roman"/>
          <w:sz w:val="18"/>
          <w:szCs w:val="18"/>
          <w:color w:val="auto"/>
        </w:rPr>
      </w:pPr>
    </w:p>
    <w:p>
      <w:pPr>
        <w:jc w:val="both"/>
        <w:ind w:left="1740" w:right="120" w:hanging="543"/>
        <w:spacing w:after="0" w:line="312" w:lineRule="auto"/>
        <w:tabs>
          <w:tab w:leader="none" w:pos="17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 or</w:t>
      </w:r>
    </w:p>
    <w:p>
      <w:pPr>
        <w:spacing w:after="0" w:line="45" w:lineRule="exact"/>
        <w:rPr>
          <w:rFonts w:ascii="Times New Roman" w:cs="Times New Roman" w:eastAsia="Times New Roman" w:hAnsi="Times New Roman"/>
          <w:sz w:val="17"/>
          <w:szCs w:val="17"/>
          <w:color w:val="auto"/>
        </w:rPr>
      </w:pPr>
    </w:p>
    <w:p>
      <w:pPr>
        <w:ind w:left="1740" w:hanging="543"/>
        <w:spacing w:after="0"/>
        <w:tabs>
          <w:tab w:leader="none" w:pos="17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delivery address of the intended recipient;</w:t>
      </w:r>
    </w:p>
    <w:p>
      <w:pPr>
        <w:spacing w:after="0" w:line="130" w:lineRule="exact"/>
        <w:rPr>
          <w:rFonts w:ascii="Times New Roman" w:cs="Times New Roman" w:eastAsia="Times New Roman" w:hAnsi="Times New Roman"/>
          <w:sz w:val="18"/>
          <w:szCs w:val="18"/>
          <w:color w:val="auto"/>
        </w:rPr>
      </w:pPr>
    </w:p>
    <w:p>
      <w:pPr>
        <w:ind w:left="1180" w:right="500" w:hanging="644"/>
        <w:spacing w:after="0" w:line="282" w:lineRule="auto"/>
        <w:tabs>
          <w:tab w:leader="none" w:pos="1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intended recipient is the auditor of the Company, sending the record by fax to the fax number provided by the intended recipient for the sending of that record or records of that class;</w:t>
      </w:r>
    </w:p>
    <w:p>
      <w:pPr>
        <w:spacing w:after="0" w:line="67"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intended recipient is the auditor of the Company, sending the record by e-mail to the e-mail address provided by the intended recipient for the sending of that record or records of that class;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delivery to the intended recipient.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Deemed Receipt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statement, report or other record that is:</w:t>
      </w:r>
    </w:p>
    <w:p>
      <w:pPr>
        <w:spacing w:after="0" w:line="131" w:lineRule="exact"/>
        <w:rPr>
          <w:sz w:val="20"/>
          <w:szCs w:val="20"/>
          <w:color w:val="auto"/>
        </w:rPr>
      </w:pPr>
    </w:p>
    <w:p>
      <w:pPr>
        <w:ind w:left="1180" w:hanging="644"/>
        <w:spacing w:after="0"/>
        <w:tabs>
          <w:tab w:leader="none" w:pos="11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to a person by ordinary mail to the applicable address for that person referred to in Article</w:t>
      </w:r>
    </w:p>
    <w:p>
      <w:pPr>
        <w:spacing w:after="0" w:line="117" w:lineRule="exact"/>
        <w:rPr>
          <w:sz w:val="20"/>
          <w:szCs w:val="20"/>
          <w:color w:val="auto"/>
        </w:rPr>
      </w:pPr>
    </w:p>
    <w:p>
      <w:pPr>
        <w:ind w:left="1420" w:right="720"/>
        <w:spacing w:after="0" w:line="282" w:lineRule="auto"/>
        <w:rPr>
          <w:sz w:val="20"/>
          <w:szCs w:val="20"/>
          <w:color w:val="auto"/>
        </w:rPr>
      </w:pPr>
      <w:r>
        <w:rPr>
          <w:rFonts w:ascii="Times New Roman" w:cs="Times New Roman" w:eastAsia="Times New Roman" w:hAnsi="Times New Roman"/>
          <w:sz w:val="18"/>
          <w:szCs w:val="18"/>
          <w:color w:val="auto"/>
        </w:rPr>
        <w:t>24.1 is deemed to be received by the person to whom it was mailed on the day (Saturdays, Sundays and holidays excepted) following the date of mailing;</w:t>
      </w:r>
    </w:p>
    <w:p>
      <w:pPr>
        <w:spacing w:after="0" w:line="67" w:lineRule="exact"/>
        <w:rPr>
          <w:sz w:val="20"/>
          <w:szCs w:val="20"/>
          <w:color w:val="auto"/>
        </w:rPr>
      </w:pPr>
    </w:p>
    <w:p>
      <w:pPr>
        <w:ind w:left="1180" w:right="100" w:hanging="644"/>
        <w:spacing w:after="0" w:line="282" w:lineRule="auto"/>
        <w:tabs>
          <w:tab w:leader="none" w:pos="1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faxed to a person to the fax number provided by that person referred to in Article 24.1 is deemed to be received by the person to whom it was faxed on the day it was faxed; and</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e-mailed to a person to the e-mail address provided by that person referred to in Article 24.1 is deemed to be received by the person to whom it was e-mailed on the day it was e-mailed.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Certificate of Sending</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certificate signed by the secretary, if any, or other officer of the Company or of any other corporation acting in that capacity on behalf of the Company stating that a notice, statement, report or other record was sent in accordance with Article 24.1 is conclusive evidence of that fact.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7"/>
          <w:szCs w:val="17"/>
          <w:b w:val="1"/>
          <w:bCs w:val="1"/>
          <w:color w:val="auto"/>
        </w:rPr>
        <w:t>Notice to Joint Shareholders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notice, statement, report or other record may be provided by the Company to the joint shareholders of a share by providing such record to the joint shareholder first named in the central securities register in respect of the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1000"/>
          </w:cols>
          <w:pgMar w:left="440" w:top="270" w:right="459" w:bottom="1440" w:gutter="0" w:footer="0" w:header="0"/>
        </w:sectPr>
      </w:pPr>
    </w:p>
    <w:bookmarkStart w:id="48" w:name="page49"/>
    <w:bookmarkEnd w:id="4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24.5</w:t>
      </w:r>
      <w:r>
        <w:rPr>
          <w:sz w:val="20"/>
          <w:szCs w:val="20"/>
          <w:color w:val="auto"/>
        </w:rPr>
        <w:tab/>
      </w:r>
      <w:r>
        <w:rPr>
          <w:rFonts w:ascii="Times New Roman" w:cs="Times New Roman" w:eastAsia="Times New Roman" w:hAnsi="Times New Roman"/>
          <w:sz w:val="17"/>
          <w:szCs w:val="17"/>
          <w:b w:val="1"/>
          <w:bCs w:val="1"/>
          <w:color w:val="auto"/>
        </w:rPr>
        <w:t>Notice to Legal Personal Representatives and Trustees</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 notice, statement, report or other record may be provided by the Company to the persons entitled to a share in consequence of the death, bankruptcy or incapacity of a shareholder by:</w:t>
      </w:r>
    </w:p>
    <w:p>
      <w:pPr>
        <w:spacing w:after="0" w:line="67" w:lineRule="exact"/>
        <w:rPr>
          <w:sz w:val="20"/>
          <w:szCs w:val="20"/>
          <w:color w:val="auto"/>
        </w:rPr>
      </w:pPr>
    </w:p>
    <w:p>
      <w:pPr>
        <w:ind w:left="1184" w:hanging="644"/>
        <w:spacing w:after="0"/>
        <w:tabs>
          <w:tab w:leader="none" w:pos="11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the record, addressed to them:</w:t>
      </w:r>
    </w:p>
    <w:p>
      <w:pPr>
        <w:spacing w:after="0" w:line="130" w:lineRule="exact"/>
        <w:rPr>
          <w:rFonts w:ascii="Times New Roman" w:cs="Times New Roman" w:eastAsia="Times New Roman" w:hAnsi="Times New Roman"/>
          <w:sz w:val="18"/>
          <w:szCs w:val="18"/>
          <w:color w:val="auto"/>
        </w:rPr>
      </w:pPr>
    </w:p>
    <w:p>
      <w:pPr>
        <w:ind w:left="1744" w:right="260" w:hanging="543"/>
        <w:spacing w:after="0" w:line="282" w:lineRule="auto"/>
        <w:tabs>
          <w:tab w:leader="none" w:pos="174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name, by the title of the legal personal representative of the deceased or incapacitated shareholder, by the title of trustee of the bankrupt shareholder or by any similar description; and</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address, if any, supplied to the Company for that purpose by the persons claiming to be so entitled; or</w:t>
      </w:r>
    </w:p>
    <w:p>
      <w:pPr>
        <w:spacing w:after="0" w:line="131" w:lineRule="exact"/>
        <w:rPr>
          <w:sz w:val="20"/>
          <w:szCs w:val="20"/>
          <w:color w:val="auto"/>
        </w:rPr>
      </w:pPr>
    </w:p>
    <w:p>
      <w:pPr>
        <w:ind w:left="1184" w:right="240" w:hanging="644"/>
        <w:spacing w:after="0" w:line="282" w:lineRule="auto"/>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address referred to in paragraph (1)(b) has not been supplied to the Company, by giving the notice in a manner in which it might have been given if the death, bankruptcy or incapacity had not occurred.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7"/>
          <w:szCs w:val="17"/>
          <w:b w:val="1"/>
          <w:bCs w:val="1"/>
          <w:color w:val="auto"/>
        </w:rPr>
        <w:t>Undelivered Notices</w:t>
      </w:r>
    </w:p>
    <w:p>
      <w:pPr>
        <w:spacing w:after="0" w:line="121"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If on two consecutive occasions, a notice, statement, report or other record is sent to a shareholder pursuant to Article 24.1 and on each of those occasions any such record is returned because the shareholder cannot be located, the Company shall not be required to send any further records to the shareholder until the shareholder informs the Company in writing of his or her new address.</w:t>
      </w:r>
    </w:p>
    <w:p>
      <w:pPr>
        <w:spacing w:after="0" w:line="77" w:lineRule="exact"/>
        <w:rPr>
          <w:sz w:val="20"/>
          <w:szCs w:val="20"/>
          <w:color w:val="auto"/>
        </w:rPr>
      </w:pPr>
    </w:p>
    <w:p>
      <w:pPr>
        <w:ind w:left="544" w:hanging="544"/>
        <w:spacing w:after="0"/>
        <w:tabs>
          <w:tab w:leader="none" w:pos="54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25.1</w:t>
        <w:tab/>
        <w:t>Who May Attest Seal</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Except as provided in Articles 25.2 and 25.3, the Company’s seal, if any, must not be impressed on any record except when that impression is attested by the signatures of:</w:t>
      </w:r>
    </w:p>
    <w:p>
      <w:pPr>
        <w:spacing w:after="0" w:line="67" w:lineRule="exact"/>
        <w:rPr>
          <w:sz w:val="20"/>
          <w:szCs w:val="20"/>
          <w:color w:val="auto"/>
        </w:rPr>
      </w:pPr>
    </w:p>
    <w:p>
      <w:pPr>
        <w:ind w:left="1184" w:hanging="644"/>
        <w:spacing w:after="0"/>
        <w:tabs>
          <w:tab w:leader="none" w:pos="11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directors;</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officer, together </w:t>
      </w:r>
      <w:r>
        <w:rPr>
          <w:rFonts w:ascii="Times New Roman" w:cs="Times New Roman" w:eastAsia="Times New Roman" w:hAnsi="Times New Roman"/>
          <w:sz w:val="18"/>
          <w:szCs w:val="18"/>
          <w:b w:val="1"/>
          <w:bCs w:val="1"/>
          <w:color w:val="auto"/>
        </w:rPr>
        <w:t>with</w:t>
      </w:r>
      <w:r>
        <w:rPr>
          <w:rFonts w:ascii="Times New Roman" w:cs="Times New Roman" w:eastAsia="Times New Roman" w:hAnsi="Times New Roman"/>
          <w:sz w:val="18"/>
          <w:szCs w:val="18"/>
          <w:color w:val="auto"/>
        </w:rPr>
        <w:t xml:space="preserve"> any director;</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only has one director, that director;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directors or officers or persons as may be determined by the directors.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7"/>
          <w:szCs w:val="17"/>
          <w:b w:val="1"/>
          <w:bCs w:val="1"/>
          <w:color w:val="auto"/>
        </w:rPr>
        <w:t>Sealing Copies</w:t>
      </w:r>
    </w:p>
    <w:p>
      <w:pPr>
        <w:spacing w:after="0" w:line="121"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For the purpose of certifying under seal a certificate of incumbency of the directors or officers of the Company or a true copy of any resolution or other document, despite Article 25.1, the impression of the seal may be attested by the signature of any director or officer or the signature of any other person as may be determined by the directors.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7"/>
          <w:szCs w:val="17"/>
          <w:b w:val="1"/>
          <w:bCs w:val="1"/>
          <w:color w:val="auto"/>
        </w:rPr>
        <w:t>Mechanical Reproduction of Seal</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such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024"/>
          </w:cols>
          <w:pgMar w:left="436" w:top="266" w:right="439" w:bottom="1440" w:gutter="0" w:footer="0" w:header="0"/>
        </w:sectPr>
      </w:pPr>
    </w:p>
    <w:bookmarkStart w:id="49" w:name="page50"/>
    <w:bookmarkEnd w:id="49"/>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as are authorized under Article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77" w:lineRule="exact"/>
        <w:rPr>
          <w:sz w:val="20"/>
          <w:szCs w:val="20"/>
          <w:color w:val="auto"/>
        </w:rPr>
      </w:pPr>
    </w:p>
    <w:p>
      <w:pPr>
        <w:ind w:left="544" w:hanging="544"/>
        <w:spacing w:after="0"/>
        <w:tabs>
          <w:tab w:leader="none" w:pos="54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PROHIBITIONS</w:t>
      </w:r>
    </w:p>
    <w:p>
      <w:pPr>
        <w:spacing w:after="0" w:line="130"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26.1   Definitions</w:t>
      </w:r>
    </w:p>
    <w:p>
      <w:pPr>
        <w:spacing w:after="0" w:line="134"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Part 26:</w:t>
      </w:r>
    </w:p>
    <w:p>
      <w:pPr>
        <w:spacing w:after="0" w:line="126"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w:t>
      </w:r>
      <w:r>
        <w:rPr>
          <w:rFonts w:ascii="Times New Roman" w:cs="Times New Roman" w:eastAsia="Times New Roman" w:hAnsi="Times New Roman"/>
          <w:sz w:val="18"/>
          <w:szCs w:val="18"/>
          <w:color w:val="auto"/>
        </w:rPr>
        <w:t>has the meaning assigned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Columbia);</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restricted security”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of the Company;</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of the Company convertible into shares of the Company;</w:t>
      </w:r>
    </w:p>
    <w:p>
      <w:pPr>
        <w:spacing w:after="0" w:line="130" w:lineRule="exact"/>
        <w:rPr>
          <w:rFonts w:ascii="Times New Roman" w:cs="Times New Roman" w:eastAsia="Times New Roman" w:hAnsi="Times New Roman"/>
          <w:sz w:val="18"/>
          <w:szCs w:val="18"/>
          <w:color w:val="auto"/>
        </w:rPr>
      </w:pPr>
    </w:p>
    <w:p>
      <w:pPr>
        <w:ind w:left="2404" w:hanging="649"/>
        <w:spacing w:after="0" w:line="261" w:lineRule="auto"/>
        <w:tabs>
          <w:tab w:leader="none" w:pos="2404"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security of the Company which must be subject to restrictions on transfer in order for the Company to satisfy the requirement for restrictions on transfer under the “private issuer” exemption of Canadian securities legislation or under any other exemption from prospectus or registration requirements of Canadian securities legislation similar in scope and purpose to the “private issuer” exemption.</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Application</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Article 26.3 does not apply to the Company if and for so long as it is a public company or a pre-existing reporting company which has the Statutory Reporting Company Provisions as part of these Articles or to which the Statutory Reporting Company Provisions apply.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Consent Required for Transfer of Shares or Transfer Restricted Securities</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No shares shall be transferred without the prior consent of the directors expressed by a resolution of the board of directors and the directors shall not be required to give any reason for refusing to consent to any proposed transfer. The consent of the board of directors may be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respect of a specific proposed trade or trades or trading generally, whether or not over a specified period of time, or by a specific person or with such other restrictions or requirements as the directors may determine.</w:t>
      </w:r>
    </w:p>
    <w:p>
      <w:pPr>
        <w:spacing w:after="0" w:line="81" w:lineRule="exact"/>
        <w:rPr>
          <w:sz w:val="20"/>
          <w:szCs w:val="20"/>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RIGHTS OR RESTRICTIONS ATTACHING TO THE COMMON SHARES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Common shares without par value (the “Common Shares”) shall have attached thereto the following special rights or restrictions: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27.1</w:t>
      </w:r>
      <w:r>
        <w:rPr>
          <w:sz w:val="20"/>
          <w:szCs w:val="20"/>
          <w:color w:val="auto"/>
        </w:rPr>
        <w:tab/>
      </w:r>
      <w:r>
        <w:rPr>
          <w:rFonts w:ascii="Times New Roman" w:cs="Times New Roman" w:eastAsia="Times New Roman" w:hAnsi="Times New Roman"/>
          <w:sz w:val="17"/>
          <w:szCs w:val="17"/>
          <w:b w:val="1"/>
          <w:bCs w:val="1"/>
          <w:color w:val="auto"/>
        </w:rPr>
        <w:t>Voting</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holders of the Common Shares shall be entitled to one vote in respect of each Common Share held by such holder at any annual or general meeting of the shareholders of the Company.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27.2</w:t>
      </w:r>
      <w:r>
        <w:rPr>
          <w:sz w:val="20"/>
          <w:szCs w:val="20"/>
          <w:color w:val="auto"/>
        </w:rPr>
        <w:tab/>
      </w:r>
      <w:r>
        <w:rPr>
          <w:rFonts w:ascii="Times New Roman" w:cs="Times New Roman" w:eastAsia="Times New Roman" w:hAnsi="Times New Roman"/>
          <w:sz w:val="17"/>
          <w:szCs w:val="17"/>
          <w:b w:val="1"/>
          <w:bCs w:val="1"/>
          <w:color w:val="auto"/>
        </w:rPr>
        <w:t>Dividends</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holders of the Common Shares shall in each year in the discretion of the directors be entitled, to the exclusion of any other class or series of shares then issued and outstanding in the capital of the Company, out of monies of the Company lawfully available for the payment of dividends, to dividends in such amounts as may be determined in the absolute discretion of the directors from time to time.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964"/>
          </w:cols>
          <w:pgMar w:left="436" w:top="270" w:right="49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27.3. Liquidation, Dissolution or Winding-Up</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the Preferred shares without par value, in the event of the liquidation, dissolution or winding-up of the Company whether voluntary or involuntary, or any other distribution of the assets of the Company among its shareholders for the purpose of winding up its affairs, the remaining property and assets of the Company shall be distributed to the holders of the Common Shares.</w:t>
      </w:r>
    </w:p>
    <w:p>
      <w:pPr>
        <w:spacing w:after="0" w:line="77" w:lineRule="exact"/>
        <w:rPr>
          <w:sz w:val="20"/>
          <w:szCs w:val="20"/>
          <w:color w:val="auto"/>
        </w:rPr>
      </w:pPr>
    </w:p>
    <w:p>
      <w:pPr>
        <w:ind w:left="544" w:hanging="544"/>
        <w:spacing w:after="0"/>
        <w:tabs>
          <w:tab w:leader="none" w:pos="54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RIGHTS OR RESTRICTIONS ATTACHING TO THE PREFERRED SHARES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Preferred shares without par value (the “Preferred Shares”) as a class shall be subject to the following special rights or restrictions: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7"/>
          <w:szCs w:val="17"/>
          <w:b w:val="1"/>
          <w:bCs w:val="1"/>
          <w:color w:val="auto"/>
        </w:rPr>
        <w:t>Issuable in Series</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Preferred Shares are issuable from time to time in one or more series, ranking equally on winding-up, to repayment of the amount paid up on such shares, and to carry and be subject to, as a class, the following special rights or restrictions:</w:t>
      </w:r>
    </w:p>
    <w:p>
      <w:pPr>
        <w:spacing w:after="0" w:line="67" w:lineRule="exact"/>
        <w:rPr>
          <w:sz w:val="20"/>
          <w:szCs w:val="20"/>
          <w:color w:val="auto"/>
        </w:rPr>
      </w:pPr>
    </w:p>
    <w:p>
      <w:pPr>
        <w:ind w:left="544" w:hanging="544"/>
        <w:spacing w:after="0" w:line="261" w:lineRule="auto"/>
        <w:tabs>
          <w:tab w:leader="none" w:pos="5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may by resolution duly passed before the issue of any Preferred Shares, alter the Notice of Articles and the Articles of the Company to fix the number of Preferred Shares in, and to determine the designation of the shares of, each series and to create, define and attach special rights and restrictions to the Preferred Shares of such series, including but without limiting or restricting the generality of the foregoing:</w:t>
      </w:r>
    </w:p>
    <w:p>
      <w:pPr>
        <w:spacing w:after="0" w:line="85"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if any, with respect to the rights of holders of such series to receive notice of and to attend and vote at any general meeting of the Company;</w:t>
      </w:r>
    </w:p>
    <w:p>
      <w:pPr>
        <w:spacing w:after="0" w:line="67"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if any, relating to the purchase or redemption by the Company of the Preferred Shares of such series and the consideration for and the terms and conditions of such purchase or redemption;</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convert any Preferred Shares of such series into shares of another class;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any share purchase plan or sinking fund;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if any, respecting payment of dividends on any shares ranking junior to the Preferred Shares.</w:t>
      </w:r>
    </w:p>
    <w:p>
      <w:pPr>
        <w:spacing w:after="0" w:line="129" w:lineRule="exact"/>
        <w:rPr>
          <w:sz w:val="20"/>
          <w:szCs w:val="20"/>
          <w:color w:val="auto"/>
        </w:rPr>
      </w:pPr>
    </w:p>
    <w:p>
      <w:pPr>
        <w:ind w:left="544" w:right="40" w:hanging="544"/>
        <w:spacing w:after="0" w:line="267" w:lineRule="auto"/>
        <w:tabs>
          <w:tab w:leader="none" w:pos="5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the directors may, before the issuance of any shares of any series of Preferred shares, alter any determination made as to the maximum number of shares in such series and/or alter the special rights or restrictions attaching to that series of Preferred shares.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Ranking</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Preferred Shares shall rank on a parity with each other and with any other shares by their terms ranking equally therewith with respect to the payment of dividends and, on winding-up, repayment of the amount paid up on such shares of the Company, and shall rank prior to the Common Shares or any other shares ranking junior with respect to, on winding-up, repayment of the amount paid up on such shares.</w:t>
      </w:r>
    </w:p>
    <w:p>
      <w:pPr>
        <w:spacing w:after="0" w:line="200" w:lineRule="exact"/>
        <w:rPr>
          <w:sz w:val="20"/>
          <w:szCs w:val="20"/>
          <w:color w:val="auto"/>
        </w:rPr>
      </w:pPr>
    </w:p>
    <w:p>
      <w:pPr>
        <w:spacing w:after="0" w:line="27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84"/>
          </w:cols>
          <w:pgMar w:left="436" w:top="266" w:right="479" w:bottom="1440" w:gutter="0" w:footer="0" w:header="0"/>
        </w:sectPr>
      </w:pPr>
    </w:p>
    <w:bookmarkStart w:id="51" w:name="page52"/>
    <w:bookmarkEnd w:id="51"/>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r>
      <w:r>
        <w:rPr>
          <w:sz w:val="20"/>
          <w:szCs w:val="20"/>
          <w:color w:val="auto"/>
        </w:rPr>
        <w:tab/>
      </w:r>
      <w:r>
        <w:rPr>
          <w:rFonts w:ascii="Times New Roman" w:cs="Times New Roman" w:eastAsia="Times New Roman" w:hAnsi="Times New Roman"/>
          <w:sz w:val="18"/>
          <w:szCs w:val="18"/>
          <w:b w:val="1"/>
          <w:bCs w:val="1"/>
          <w:color w:val="auto"/>
        </w:rPr>
        <w:t>SPECIAL RIGHTS OR RESTRICTIONS ATTACHED TO THE SERIES A NON-VOTING PREFERRED SHARES</w:t>
      </w:r>
    </w:p>
    <w:p>
      <w:pPr>
        <w:spacing w:after="0" w:line="117" w:lineRule="exact"/>
        <w:rPr>
          <w:sz w:val="20"/>
          <w:szCs w:val="20"/>
          <w:color w:val="auto"/>
        </w:rPr>
      </w:pPr>
    </w:p>
    <w:p>
      <w:pPr>
        <w:jc w:val="both"/>
        <w:ind w:left="4" w:right="240"/>
        <w:spacing w:after="0" w:line="268" w:lineRule="auto"/>
        <w:rPr>
          <w:sz w:val="20"/>
          <w:szCs w:val="20"/>
          <w:color w:val="auto"/>
        </w:rPr>
      </w:pPr>
      <w:r>
        <w:rPr>
          <w:rFonts w:ascii="Times New Roman" w:cs="Times New Roman" w:eastAsia="Times New Roman" w:hAnsi="Times New Roman"/>
          <w:sz w:val="18"/>
          <w:szCs w:val="18"/>
          <w:color w:val="auto"/>
        </w:rPr>
        <w:t>The Series A Non-Voting Preferred Shares without par value (the “</w:t>
      </w:r>
      <w:r>
        <w:rPr>
          <w:rFonts w:ascii="Times New Roman" w:cs="Times New Roman" w:eastAsia="Times New Roman" w:hAnsi="Times New Roman"/>
          <w:sz w:val="18"/>
          <w:szCs w:val="18"/>
          <w:b w:val="1"/>
          <w:bCs w:val="1"/>
          <w:color w:val="auto"/>
        </w:rPr>
        <w:t>Series A Non-Voting Preferred Shares</w:t>
      </w:r>
      <w:r>
        <w:rPr>
          <w:rFonts w:ascii="Times New Roman" w:cs="Times New Roman" w:eastAsia="Times New Roman" w:hAnsi="Times New Roman"/>
          <w:sz w:val="18"/>
          <w:szCs w:val="18"/>
          <w:color w:val="auto"/>
        </w:rPr>
        <w:t>”) shall be subject to the following special rights or restrictions, in addition to the special rights or restrictions set forth in these Articles that are applicable to the Preferred Shares as a class, set forth below:</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Article, the following terms shall have the following meanings:</w:t>
      </w:r>
    </w:p>
    <w:p>
      <w:pPr>
        <w:spacing w:after="0" w:line="127" w:lineRule="exact"/>
        <w:rPr>
          <w:sz w:val="20"/>
          <w:szCs w:val="20"/>
          <w:color w:val="auto"/>
        </w:rPr>
      </w:pPr>
    </w:p>
    <w:p>
      <w:pPr>
        <w:ind w:left="544" w:right="340" w:hanging="544"/>
        <w:spacing w:after="0" w:line="286" w:lineRule="auto"/>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 of 1933, as amended.</w:t>
      </w:r>
    </w:p>
    <w:p>
      <w:pPr>
        <w:spacing w:after="0" w:line="60" w:lineRule="exact"/>
        <w:rPr>
          <w:rFonts w:ascii="Times New Roman" w:cs="Times New Roman" w:eastAsia="Times New Roman" w:hAnsi="Times New Roman"/>
          <w:sz w:val="18"/>
          <w:szCs w:val="18"/>
          <w:color w:val="auto"/>
        </w:rPr>
      </w:pPr>
    </w:p>
    <w:p>
      <w:pPr>
        <w:ind w:left="544" w:right="60" w:hanging="544"/>
        <w:spacing w:after="0" w:line="268" w:lineRule="auto"/>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Canada or the United States or any day on which banking institutions in the Province of British Columbia or the State of New York are authorized or required by law or other governmental action to close.</w:t>
      </w:r>
    </w:p>
    <w:p>
      <w:pPr>
        <w:spacing w:after="0" w:line="7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shall have the meaning set forth in Article 29.6(4)(d).</w:t>
      </w:r>
    </w:p>
    <w:p>
      <w:pPr>
        <w:spacing w:after="0" w:line="130" w:lineRule="exact"/>
        <w:rPr>
          <w:rFonts w:ascii="Times New Roman" w:cs="Times New Roman" w:eastAsia="Times New Roman" w:hAnsi="Times New Roman"/>
          <w:sz w:val="18"/>
          <w:szCs w:val="18"/>
          <w:color w:val="auto"/>
        </w:rPr>
      </w:pPr>
    </w:p>
    <w:p>
      <w:pPr>
        <w:ind w:left="544" w:hanging="544"/>
        <w:spacing w:after="0" w:line="256" w:lineRule="auto"/>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w:t>
      </w:r>
    </w:p>
    <w:p>
      <w:pPr>
        <w:spacing w:after="0" w:line="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30" w:lineRule="exact"/>
        <w:rPr>
          <w:rFonts w:ascii="Times New Roman" w:cs="Times New Roman" w:eastAsia="Times New Roman" w:hAnsi="Times New Roman"/>
          <w:sz w:val="18"/>
          <w:szCs w:val="18"/>
          <w:color w:val="auto"/>
        </w:rPr>
      </w:pPr>
    </w:p>
    <w:p>
      <w:pPr>
        <w:ind w:left="544" w:right="580" w:hanging="544"/>
        <w:spacing w:after="0" w:line="286" w:lineRule="auto"/>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Company’s Common shares, without par value, and shares of any other class of securities into which such securities may hereafter be reclassified or changed.</w:t>
      </w:r>
    </w:p>
    <w:p>
      <w:pPr>
        <w:spacing w:after="0" w:line="60" w:lineRule="exact"/>
        <w:rPr>
          <w:rFonts w:ascii="Times New Roman" w:cs="Times New Roman" w:eastAsia="Times New Roman" w:hAnsi="Times New Roman"/>
          <w:sz w:val="18"/>
          <w:szCs w:val="18"/>
          <w:color w:val="auto"/>
        </w:rPr>
      </w:pPr>
    </w:p>
    <w:p>
      <w:pPr>
        <w:ind w:left="544" w:right="600" w:hanging="544"/>
        <w:spacing w:after="0" w:line="286" w:lineRule="auto"/>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collectively, the Common Shares issuable upon conversion of the Series A Non-Voting Preferred Shares in accordance with the terms hereof.</w:t>
      </w:r>
    </w:p>
    <w:p>
      <w:pPr>
        <w:spacing w:after="0" w:line="6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holder of Series A Non-Voting Preferred Shares.</w:t>
      </w:r>
    </w:p>
    <w:p>
      <w:pPr>
        <w:spacing w:after="0" w:line="130" w:lineRule="exact"/>
        <w:rPr>
          <w:rFonts w:ascii="Times New Roman" w:cs="Times New Roman" w:eastAsia="Times New Roman" w:hAnsi="Times New Roman"/>
          <w:sz w:val="18"/>
          <w:szCs w:val="18"/>
          <w:color w:val="auto"/>
        </w:rPr>
      </w:pPr>
    </w:p>
    <w:p>
      <w:pPr>
        <w:ind w:left="544" w:right="260" w:hanging="544"/>
        <w:spacing w:after="0" w:line="291" w:lineRule="auto"/>
        <w:tabs>
          <w:tab w:leader="none" w:pos="544"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means the terms of the Agreement and Plan of Merger and Reorganization dated May 19, 2026, as amended, by and among the Company, Indigo Merger Sub Corp., a Delaware corporation and wholly-owned subsidiary of the Company, Indigo Merger Sub II, LLC, a Delaware limited company and wholly-owned subsidiary of the Company, and Mentari Therapeutics, Inc., a Delaware corporation.</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52" w:name="page53"/>
    <w:bookmarkEnd w:id="52"/>
    <w:p>
      <w:pPr>
        <w:ind w:left="544" w:right="480" w:hanging="544"/>
        <w:spacing w:after="0" w:line="286" w:lineRule="auto"/>
        <w:tabs>
          <w:tab w:leader="none" w:pos="5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130" w:lineRule="exact"/>
        <w:rPr>
          <w:rFonts w:ascii="Times New Roman" w:cs="Times New Roman" w:eastAsia="Times New Roman" w:hAnsi="Times New Roman"/>
          <w:sz w:val="18"/>
          <w:szCs w:val="18"/>
          <w:color w:val="auto"/>
        </w:rPr>
      </w:pPr>
    </w:p>
    <w:p>
      <w:pPr>
        <w:jc w:val="both"/>
        <w:ind w:left="544" w:hanging="544"/>
        <w:spacing w:after="0" w:line="268" w:lineRule="auto"/>
        <w:tabs>
          <w:tab w:leader="none" w:pos="5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Shares is listed or quoted for trading on the date in question: the NYSE American, the Nasdaq Capital Market, the Nasdaq Global Market, the Nasdaq Global Select Market, or the New York Stock Exchange (or any successors to any of the foregoing).</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b w:val="1"/>
          <w:bCs w:val="1"/>
          <w:color w:val="auto"/>
        </w:rPr>
        <w:t>Designation and Amount.</w:t>
      </w:r>
    </w:p>
    <w:p>
      <w:pPr>
        <w:spacing w:after="0" w:line="117" w:lineRule="exact"/>
        <w:rPr>
          <w:sz w:val="20"/>
          <w:szCs w:val="20"/>
          <w:color w:val="auto"/>
        </w:rPr>
      </w:pPr>
    </w:p>
    <w:p>
      <w:pPr>
        <w:ind w:left="544" w:right="740"/>
        <w:spacing w:after="0" w:line="286" w:lineRule="auto"/>
        <w:rPr>
          <w:sz w:val="20"/>
          <w:szCs w:val="20"/>
          <w:color w:val="auto"/>
        </w:rPr>
      </w:pPr>
      <w:r>
        <w:rPr>
          <w:rFonts w:ascii="Times New Roman" w:cs="Times New Roman" w:eastAsia="Times New Roman" w:hAnsi="Times New Roman"/>
          <w:sz w:val="18"/>
          <w:szCs w:val="18"/>
          <w:color w:val="auto"/>
        </w:rPr>
        <w:t>The series of Preferred Shares shall be designated as the Company’s Series A Non-Voting Convertible Preferred Shares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Non-Voting Preferred Shares</w:t>
      </w:r>
      <w:r>
        <w:rPr>
          <w:rFonts w:ascii="Times New Roman" w:cs="Times New Roman" w:eastAsia="Times New Roman" w:hAnsi="Times New Roman"/>
          <w:sz w:val="18"/>
          <w:szCs w:val="18"/>
          <w:color w:val="auto"/>
        </w:rPr>
        <w:t>”) and the number of shares so designated shall be 4,013.</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29.3</w:t>
        <w:tab/>
        <w:t>Dividends.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Holders shall be entitled to receive, and the Company shall pay, dividends on the Series A Non-Voting Preferred Shares (on an as-if-converted-to-Common-Shares basis, without regard to the Beneficial Ownership Limitation (as defined in Article 29.6(3) below)) equal to and in the same form, and in the same manner, as dividends (other than dividends on the Common Shares payable in the form of Common Shares) actually paid on the Common Shares when, as and if such dividends (other than dividends payable in the form of Common Shares) are paid on the Common Shares. Other than as set forth in the previous sentence, no other dividends shall be paid on Series A Non-Voting Preferred Shares, and the Company shall pay no dividends (other than dividends payable in the form of Common Shares) on the Common Shares unless it simultaneously complies with the previous sentence.</w:t>
      </w:r>
    </w:p>
    <w:p>
      <w:pPr>
        <w:spacing w:after="0" w:line="30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7"/>
          <w:szCs w:val="17"/>
          <w:b w:val="1"/>
          <w:bCs w:val="1"/>
          <w:color w:val="auto"/>
        </w:rPr>
        <w:t>Voting Rights.</w:t>
      </w:r>
    </w:p>
    <w:p>
      <w:pPr>
        <w:spacing w:after="0" w:line="133" w:lineRule="exact"/>
        <w:rPr>
          <w:sz w:val="20"/>
          <w:szCs w:val="20"/>
          <w:color w:val="auto"/>
        </w:rPr>
      </w:pPr>
    </w:p>
    <w:p>
      <w:pPr>
        <w:ind w:left="544" w:hanging="544"/>
        <w:spacing w:after="0" w:line="267" w:lineRule="auto"/>
        <w:tabs>
          <w:tab w:leader="none" w:pos="544"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herein or as otherwise required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Series A Non-Voting Preferred Shares shall have no voting rights. However, as long as any Series A Non-Voting Preferred Shares are outstanding, the Company shall not, without the affirmative vote of the holders of a majority of the then outstanding Series A Non-Voting Preferred Shares: (i) alter or change adversely the special rights or restrictions attached to the Series A Non-Voting Preferred Shares or alter or amend the special rights or restrictions of the Preferred Shares set forth in these Articles, amend or repeal any provision of, or add any provision to, the Articles of the Company, or file any amendment to the Notice of Articles, if such action would adversely alter or change the special rights or restrictions provided for the benefit of the Series A Non-Voting Preferred Shares, regardless of whether any of the foregoing actions shall be by means of amendment to the Articles or by amalgamation, arrangement, subdivision, consolidation, recapitalization, reclassification, conversion or otherwise, (ii) issue further Series A Non-Voting Preferred Shares or increase or decrease (other than by conversion) the number of authorized Series A Non-Voting Preferred Shares,</w:t>
      </w:r>
    </w:p>
    <w:p>
      <w:pPr>
        <w:spacing w:after="0" w:line="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(iii) at any time while at least 30% of the originally issued Series A Non-Voting Preferred Shares remains issued and outstanding,</w:t>
      </w:r>
    </w:p>
    <w:p>
      <w:pPr>
        <w:spacing w:after="0" w:line="9" w:lineRule="exact"/>
        <w:rPr>
          <w:sz w:val="20"/>
          <w:szCs w:val="20"/>
          <w:color w:val="auto"/>
        </w:rPr>
      </w:pPr>
    </w:p>
    <w:p>
      <w:pPr>
        <w:ind w:left="544" w:right="20" w:hanging="4"/>
        <w:spacing w:after="0" w:line="269" w:lineRule="auto"/>
        <w:tabs>
          <w:tab w:leader="none" w:pos="839"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consummate (I) any Fundamental Transaction (as defined below) or (II) any amalgamation, merger or consolidation of the Company with or into another entity or any sale of shares to, or other business combination in which the shareholders of the Company immediately before such transaction do not hold at least a majority of the shares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Common Shares acquired upon the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53" w:name="page54"/>
    <w:bookmarkEnd w:id="53"/>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of Series A Non-Voting Preferred Shares shall be entitled to the same voting rights as each other holder of Common Shares.</w:t>
      </w:r>
    </w:p>
    <w:p>
      <w:pPr>
        <w:spacing w:after="0" w:line="131" w:lineRule="exact"/>
        <w:rPr>
          <w:sz w:val="20"/>
          <w:szCs w:val="20"/>
          <w:color w:val="auto"/>
        </w:rPr>
      </w:pPr>
    </w:p>
    <w:p>
      <w:pPr>
        <w:ind w:left="544" w:right="80" w:hanging="544"/>
        <w:spacing w:after="0" w:line="266" w:lineRule="auto"/>
        <w:tabs>
          <w:tab w:leader="none" w:pos="5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required or permitted under Article 29.4(1) may be taken at a meeting of the Holders or through the execution of written consent resolution in lieu of such meeting, provided that the consent resolution is executed by Holders representing at least a majority of the outstanding Series A Non-Voting Preferred Shares.</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xml:space="preserve"> Notwithstanding any provision of Article 13 or Article 14:</w:t>
      </w:r>
    </w:p>
    <w:p>
      <w:pPr>
        <w:spacing w:after="0" w:line="130" w:lineRule="exact"/>
        <w:rPr>
          <w:rFonts w:ascii="Times New Roman" w:cs="Times New Roman" w:eastAsia="Times New Roman" w:hAnsi="Times New Roman"/>
          <w:sz w:val="18"/>
          <w:szCs w:val="18"/>
          <w:color w:val="auto"/>
        </w:rPr>
      </w:pPr>
    </w:p>
    <w:p>
      <w:pPr>
        <w:ind w:left="1184" w:hanging="644"/>
        <w:spacing w:after="0" w:line="254" w:lineRule="auto"/>
        <w:tabs>
          <w:tab w:leader="none" w:pos="118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when at least 30% of the originally issued Series A Non-Voting Preferred Shares remains issued and outstanding, (i) the Holders of record of the Series A Non-Voting Preferred Shares, exclusively and voting together as a separate class on an as-converted to Common Shares basis, shall be entitled to elect two directors of the Company (the “</w:t>
      </w: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and (ii) the holders of record of the Common Shares and of any other class or series of voting stock (including the Series A Non-Voting Preferred Shares), exclusively and voting together as a single class on an as-converted to Common Shares basis, shall be entitled to elect the balance of the total number of directors of the Company; provided, however, for administrative convenience, the initial Preferred Directors may also be appointed by the Board of Directors in connection with the approval of the initial issuance of Series A Non-Voting Preferred Shares without a separate action by the Holders of Series A Non-Voting Preferred Shares.</w:t>
      </w:r>
    </w:p>
    <w:p>
      <w:pPr>
        <w:spacing w:after="0" w:line="97" w:lineRule="exact"/>
        <w:rPr>
          <w:rFonts w:ascii="Times New Roman" w:cs="Times New Roman" w:eastAsia="Times New Roman" w:hAnsi="Times New Roman"/>
          <w:sz w:val="18"/>
          <w:szCs w:val="18"/>
          <w:color w:val="auto"/>
        </w:rPr>
      </w:pPr>
    </w:p>
    <w:p>
      <w:pPr>
        <w:jc w:val="both"/>
        <w:ind w:left="1184" w:right="60" w:hanging="644"/>
        <w:spacing w:after="0" w:line="266" w:lineRule="auto"/>
        <w:tabs>
          <w:tab w:leader="none" w:pos="118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Preferred Director elected as provided in Article 29.4(3)(a) may be removed without cause by, and only by, the affirmative vote of the Holders of a majority of the Series A Non-Voting Preferred Shares, given either at a special meeting of such Holders duly called for that purpose or pursuant to a written consent of such Holders.</w:t>
      </w:r>
    </w:p>
    <w:p>
      <w:pPr>
        <w:spacing w:after="0" w:line="81" w:lineRule="exact"/>
        <w:rPr>
          <w:rFonts w:ascii="Times New Roman" w:cs="Times New Roman" w:eastAsia="Times New Roman" w:hAnsi="Times New Roman"/>
          <w:sz w:val="18"/>
          <w:szCs w:val="18"/>
          <w:color w:val="auto"/>
        </w:rPr>
      </w:pPr>
    </w:p>
    <w:p>
      <w:pPr>
        <w:ind w:left="1184" w:right="20" w:hanging="644"/>
        <w:spacing w:after="0" w:line="281" w:lineRule="auto"/>
        <w:tabs>
          <w:tab w:leader="none" w:pos="1184"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Holders of the Series A Non-Voting Preferred Shares fail to elect a sufficient number of directors to fill all directorships for which they are entitled to elect directors pursuant to Article 29.4(3)(a) (and to the extent any of such directorships is not otherwise filled by a director appointed in accordance with the proviso in Section 29.4(3)(a)), then any directorship not so filled shall remain vacant until such time as the Holders of the Series A Non-Voting Preferred Shares fill such directorship in accordance with Section 29.4(3)(a).</w:t>
      </w:r>
    </w:p>
    <w:p>
      <w:pPr>
        <w:spacing w:after="0" w:line="69" w:lineRule="exact"/>
        <w:rPr>
          <w:rFonts w:ascii="Times New Roman" w:cs="Times New Roman" w:eastAsia="Times New Roman" w:hAnsi="Times New Roman"/>
          <w:sz w:val="17"/>
          <w:szCs w:val="17"/>
          <w:color w:val="auto"/>
        </w:rPr>
      </w:pPr>
    </w:p>
    <w:p>
      <w:pPr>
        <w:ind w:left="1184" w:right="120" w:hanging="644"/>
        <w:spacing w:after="0" w:line="282" w:lineRule="auto"/>
        <w:tabs>
          <w:tab w:leader="none" w:pos="118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held for the purpose of electing a Preferred Director, the presence in person or by proxy of the Holders of a majority of the outstanding Series A Non-Voting Preferred Shares shall constitute a quorum for the purpose of electing such Preferred Director.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Director shall be entitled to three votes on each matter presented to the Board of Directors.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7"/>
          <w:szCs w:val="17"/>
          <w:b w:val="1"/>
          <w:bCs w:val="1"/>
          <w:color w:val="auto"/>
        </w:rPr>
        <w:t>Rank; Liquidation.</w:t>
      </w:r>
    </w:p>
    <w:p>
      <w:pPr>
        <w:spacing w:after="0" w:line="135" w:lineRule="exact"/>
        <w:rPr>
          <w:sz w:val="20"/>
          <w:szCs w:val="20"/>
          <w:color w:val="auto"/>
        </w:rPr>
      </w:pPr>
    </w:p>
    <w:p>
      <w:pPr>
        <w:ind w:left="544" w:hanging="544"/>
        <w:spacing w:after="0" w:line="282" w:lineRule="auto"/>
        <w:tabs>
          <w:tab w:leader="none" w:pos="5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Non-Voting Preferred Shares shall rank on parity with the Common Shares as to distributions of assets upon liquidation, dissolution or winding up of the Company, whether voluntarily or involuntarily.</w:t>
      </w:r>
    </w:p>
    <w:p>
      <w:pPr>
        <w:spacing w:after="0" w:line="63" w:lineRule="exact"/>
        <w:rPr>
          <w:rFonts w:ascii="Times New Roman" w:cs="Times New Roman" w:eastAsia="Times New Roman" w:hAnsi="Times New Roman"/>
          <w:sz w:val="18"/>
          <w:szCs w:val="18"/>
          <w:color w:val="auto"/>
        </w:rPr>
      </w:pPr>
    </w:p>
    <w:p>
      <w:pPr>
        <w:ind w:left="544" w:right="80" w:hanging="544"/>
        <w:spacing w:after="0" w:line="262" w:lineRule="auto"/>
        <w:tabs>
          <w:tab w:leader="none" w:pos="5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winding-up of the Company, whether voluntary or involuntary (a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each Holder shall be entitled to receive out of the assets, whether capital or surplus, of the Company the same amount that a holder of Common Shares would receive if the Series A Non-Voting Preferred Shares were fully converted (disregarding for such purpose any Beneficial Ownership Limitations, as defined in Article 29.6(3) below) to Common Shares which amounts shall be paid pari</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4" w:name="page55"/>
    <w:bookmarkEnd w:id="54"/>
    <w:p>
      <w:pPr>
        <w:ind w:left="54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passu with all holders of Common Shares, plus an additional amount equal to any dividends declared on but unpaid to such shares. If, upon any such Liquidation, the assets of the Company shall be insufficient to pay the Holders of the Series A Non-Voting Preferred Shares the amount required under the preceding sentence, then all remaining assets of the Company shall be distributed ratably to the Holders and the holders of Common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29.6</w:t>
      </w:r>
      <w:r>
        <w:rPr>
          <w:sz w:val="20"/>
          <w:szCs w:val="20"/>
          <w:color w:val="auto"/>
        </w:rPr>
        <w:tab/>
      </w:r>
      <w:r>
        <w:rPr>
          <w:rFonts w:ascii="Times New Roman" w:cs="Times New Roman" w:eastAsia="Times New Roman" w:hAnsi="Times New Roman"/>
          <w:sz w:val="17"/>
          <w:szCs w:val="17"/>
          <w:b w:val="1"/>
          <w:bCs w:val="1"/>
          <w:color w:val="auto"/>
        </w:rPr>
        <w:t>Conversion.</w:t>
      </w:r>
    </w:p>
    <w:p>
      <w:pPr>
        <w:spacing w:after="0" w:line="135" w:lineRule="exact"/>
        <w:rPr>
          <w:sz w:val="20"/>
          <w:szCs w:val="20"/>
          <w:color w:val="auto"/>
        </w:rPr>
      </w:pPr>
    </w:p>
    <w:p>
      <w:pPr>
        <w:ind w:left="544" w:hanging="544"/>
        <w:spacing w:after="0" w:line="252" w:lineRule="auto"/>
        <w:tabs>
          <w:tab w:leader="none" w:pos="54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at Option of Holder</w:t>
      </w:r>
      <w:r>
        <w:rPr>
          <w:rFonts w:ascii="Times New Roman" w:cs="Times New Roman" w:eastAsia="Times New Roman" w:hAnsi="Times New Roman"/>
          <w:sz w:val="18"/>
          <w:szCs w:val="18"/>
          <w:color w:val="auto"/>
        </w:rPr>
        <w:t>. Subject to Article 29.6(3) and Article 29.6(4)(c), each Series A Non-Voting Preferred Share then outstanding shall be convertible, at any time and from time to time, at the option of the Holder thereof, into a number of Common Shares equal to the Conversion Ratio, subject to the Beneficial Ownership Limitation (each, an “</w:t>
      </w:r>
      <w:r>
        <w:rPr>
          <w:rFonts w:ascii="Times New Roman" w:cs="Times New Roman" w:eastAsia="Times New Roman" w:hAnsi="Times New Roman"/>
          <w:sz w:val="18"/>
          <w:szCs w:val="18"/>
          <w:b w:val="1"/>
          <w:bCs w:val="1"/>
          <w:color w:val="auto"/>
        </w:rPr>
        <w:t>Optional Conversion</w:t>
      </w:r>
      <w:r>
        <w:rPr>
          <w:rFonts w:ascii="Times New Roman" w:cs="Times New Roman" w:eastAsia="Times New Roman" w:hAnsi="Times New Roman"/>
          <w:sz w:val="18"/>
          <w:szCs w:val="18"/>
          <w:color w:val="auto"/>
        </w:rPr>
        <w:t>”). Holders shall effect conversions by providing the Company with the form of conversion notice attached hereto as Annex A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duly completed and executed. Provided the Company’s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8"/>
          <w:szCs w:val="18"/>
          <w:b w:val="1"/>
          <w:bCs w:val="1"/>
          <w:color w:val="auto"/>
        </w:rPr>
        <w:t>DWAC Delivery</w:t>
      </w:r>
      <w:r>
        <w:rPr>
          <w:rFonts w:ascii="Times New Roman" w:cs="Times New Roman" w:eastAsia="Times New Roman" w:hAnsi="Times New Roman"/>
          <w:sz w:val="18"/>
          <w:szCs w:val="18"/>
          <w:color w:val="auto"/>
        </w:rPr>
        <w:t>”). The date on which an Optional Conversion shall be deemed effective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be the Trading Day that the Notice of Conversion, completed and executed, is sent via email to, and received during regular business hours by, the Company; provided, that the original certificate(s) (if any) representing such Series A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A Non-Voting Preferred Shares being converted, duly endorsed, and the accompanying Notice of Conversion, are received by the Company. The calculations set forth in the Notice of Conversion shall control in the absence of manifest or mathematical error.</w:t>
      </w:r>
    </w:p>
    <w:p>
      <w:pPr>
        <w:spacing w:after="0" w:line="98" w:lineRule="exact"/>
        <w:rPr>
          <w:rFonts w:ascii="Times New Roman" w:cs="Times New Roman" w:eastAsia="Times New Roman" w:hAnsi="Times New Roman"/>
          <w:sz w:val="18"/>
          <w:szCs w:val="18"/>
          <w:color w:val="auto"/>
        </w:rPr>
      </w:pPr>
    </w:p>
    <w:p>
      <w:pPr>
        <w:ind w:left="544" w:right="320" w:hanging="544"/>
        <w:spacing w:after="0" w:line="268" w:lineRule="auto"/>
        <w:tabs>
          <w:tab w:leader="none" w:pos="54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Conversion Ratio</w:t>
      </w:r>
      <w:r>
        <w:rPr>
          <w:rFonts w:ascii="Times New Roman" w:cs="Times New Roman" w:eastAsia="Times New Roman" w:hAnsi="Times New Roman"/>
          <w:sz w:val="18"/>
          <w:szCs w:val="18"/>
          <w:color w:val="auto"/>
        </w:rPr>
        <w:t>” for each share of Series A Non-Voting Preferred Shares shall be 1,000 Common Shares issuable upon the conversion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of each Series A Non-Voting Preferred Share (corresponding to a ratio of 1,000:1), subject to adjustment as provided herein.</w:t>
      </w:r>
    </w:p>
    <w:p>
      <w:pPr>
        <w:spacing w:after="0" w:line="80" w:lineRule="exact"/>
        <w:rPr>
          <w:rFonts w:ascii="Times New Roman" w:cs="Times New Roman" w:eastAsia="Times New Roman" w:hAnsi="Times New Roman"/>
          <w:sz w:val="18"/>
          <w:szCs w:val="18"/>
          <w:color w:val="auto"/>
        </w:rPr>
      </w:pPr>
    </w:p>
    <w:p>
      <w:pPr>
        <w:ind w:left="544" w:hanging="544"/>
        <w:spacing w:after="0" w:line="252" w:lineRule="auto"/>
        <w:tabs>
          <w:tab w:leader="none" w:pos="54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Notwithstanding anything herein to the contrary, the Company shall not effect any conversion of any Series A Non-Voting Preferred Share, and a Holder shall not have the right to convert any portion of the Series A Non-Voting Preferred Shares pursuant to Article 29.6(1), to the extent that, after giving effect to such attempted conversion set forth on an applicable Notice of Conversion (as defined in this Article 29) with respect to the Series A Non-Voting Preferred Shares, such Holder (or any of such Holder’s Affiliates or any other Person who would be a beneficial owner of Common Shares beneficially owned by the Holder for purposes of Section 13(d) or Section 16 of the Exchange Act and the applicable rules and regulations of the Commission, including any “group” of which the Holder is a member (the foregoing,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a number of Common Shares in excess of the Beneficial Ownership Limitation. For purposes of the foregoing sentence, the aggregate number of Common Shares beneficially owned by such Holder and its Attribution Parties shall include the number of Common Shares issuable upon conversion of the Series A Non-Voting Preferred Shares subject to the Notice of Conversion, with respect to which such determination is being made, but shall exclude the number of Common Shares which are issuable upon</w:t>
      </w:r>
    </w:p>
    <w:p>
      <w:pPr>
        <w:spacing w:after="0" w:line="5" w:lineRule="exact"/>
        <w:rPr>
          <w:rFonts w:ascii="Times New Roman" w:cs="Times New Roman" w:eastAsia="Times New Roman" w:hAnsi="Times New Roman"/>
          <w:sz w:val="18"/>
          <w:szCs w:val="18"/>
          <w:color w:val="auto"/>
        </w:rPr>
      </w:pPr>
    </w:p>
    <w:p>
      <w:pPr>
        <w:ind w:left="54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the remaining, unconverted Series A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5" w:name="page56"/>
    <w:bookmarkEnd w:id="5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or exercise similar to the limitation contained herein. Except as set forth in the preceding sentence, for purposes of this Article</w:t>
      </w:r>
    </w:p>
    <w:p>
      <w:pPr>
        <w:spacing w:after="0" w:line="27" w:lineRule="exact"/>
        <w:rPr>
          <w:sz w:val="20"/>
          <w:szCs w:val="20"/>
          <w:color w:val="auto"/>
        </w:rPr>
      </w:pPr>
    </w:p>
    <w:p>
      <w:pPr>
        <w:ind w:left="544"/>
        <w:spacing w:after="0" w:line="250" w:lineRule="auto"/>
        <w:rPr>
          <w:sz w:val="20"/>
          <w:szCs w:val="20"/>
          <w:color w:val="auto"/>
        </w:rPr>
      </w:pPr>
      <w:r>
        <w:rPr>
          <w:rFonts w:ascii="Times New Roman" w:cs="Times New Roman" w:eastAsia="Times New Roman" w:hAnsi="Times New Roman"/>
          <w:sz w:val="18"/>
          <w:szCs w:val="18"/>
          <w:color w:val="auto"/>
        </w:rPr>
        <w:t>29.6(3),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Article 29.6(3), in determining the number of outstanding Common Shares, a Holder may rely on the number of outstanding Common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Common Shares then outstanding. Upon the written request of a Holder (which may be by email), the Company shall, within two (2) Trading Days thereof, confirm in writing to such Holder (which may be via email) the number of Common Shares then outstanding. In any case, the number of outstanding Common Shares shall be determined after giving effect to any actual conversion or exercise of securities of the Company, including Series A Non-Voting Preferred Shares, by such Holder or its Attribution Parties since the date as of which such number of outstanding Common Shares was last publicly reported or confirmed to the Holder.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shall initially be set at the discretion of each Holder to a percentage designated by notice to the Company or otherwise between 0% and 19.99% of the number of Common Shares outstanding or deemed to be outstanding as of the applicable measurement date, and such percentage shall be set at 19.99% for any Holder that does not make such designation by notice to the Company or otherwise.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19.99%, which increase will not be effective until the sixty-first (61st) day after such written notice is delivered to the Company,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Article 29.6(3).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Common Shares of a Holder (together with any of such Holder’s Attribution Parties) is equal to or less than 9.00% of the number of Common Shares outstanding as of any given date, then such Holder’s Beneficial Ownership Limitation shall automatically be set to 9.99%. The provisions of this Article 29.6(3) shall be construed, corrected and implemented in a manner so as to effectuate the intended Beneficial Ownership Limitation herein contained and the Common Shares underlying the Series A Non-Voting Preferred Shares in excess of the Beneficial Ownership Limitation shall not be deemed to be beneficially owned by the Holder for any purpose including for purposes of Section 13(d) or Rule 16a-1(a)(1) of the Exchange Act.</w:t>
      </w:r>
    </w:p>
    <w:p>
      <w:pPr>
        <w:spacing w:after="0" w:line="115" w:lineRule="exact"/>
        <w:rPr>
          <w:sz w:val="20"/>
          <w:szCs w:val="20"/>
          <w:color w:val="auto"/>
        </w:rPr>
      </w:pPr>
    </w:p>
    <w:p>
      <w:pPr>
        <w:ind w:left="544" w:hanging="544"/>
        <w:spacing w:after="0"/>
        <w:tabs>
          <w:tab w:leader="none" w:pos="5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1184" w:right="80" w:hanging="644"/>
        <w:spacing w:after="0" w:line="257" w:lineRule="auto"/>
        <w:tabs>
          <w:tab w:leader="none" w:pos="118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of Certificate or Electronic Issuance</w:t>
      </w:r>
      <w:r>
        <w:rPr>
          <w:rFonts w:ascii="Times New Roman" w:cs="Times New Roman" w:eastAsia="Times New Roman" w:hAnsi="Times New Roman"/>
          <w:sz w:val="18"/>
          <w:szCs w:val="18"/>
          <w:color w:val="auto"/>
        </w:rPr>
        <w:t>. Upon Conversion not later than two (2) Trading Days after the applicable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or if the Holder requests the issuance of physical certificate(s), two (2) Trading Days after receipt by the Company of the original certificate(s) representing such Series A Non-Voting Preferred Shares being converted, duly endorsed, and the accompanying Notice of Conversion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the Company shall either: (a) deliver, or cause to be delivered, to the converting Holder a physical certificate or certificates representing the number of Conversion Shares being acquired upon the conversion of Series A Non-Voting Preferred Shares, or (b) in the case of a DWAC Delivery (if so</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6" w:name="page57"/>
    <w:bookmarkEnd w:id="56"/>
    <w:p>
      <w:pPr>
        <w:ind w:left="66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A Non-Voting Preferred Shares certificate delivered to the Company and such Holder shall promptly return to the Company any Common Share certificates or otherwise direct the return of any Common Shares delivered to the Holder through the DWAC system, representing the Series A Non-Voting Preferred Shares unsuccessfully tendered for conversion to the Company.</w:t>
      </w:r>
    </w:p>
    <w:p>
      <w:pPr>
        <w:spacing w:after="0" w:line="92" w:lineRule="exact"/>
        <w:rPr>
          <w:sz w:val="20"/>
          <w:szCs w:val="20"/>
          <w:color w:val="auto"/>
        </w:rPr>
      </w:pPr>
    </w:p>
    <w:p>
      <w:pPr>
        <w:ind w:left="644" w:hanging="644"/>
        <w:spacing w:after="0"/>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Obligation Absolute</w:t>
      </w:r>
      <w:r>
        <w:rPr>
          <w:rFonts w:ascii="Times New Roman" w:cs="Times New Roman" w:eastAsia="Times New Roman" w:hAnsi="Times New Roman"/>
          <w:sz w:val="18"/>
          <w:szCs w:val="18"/>
          <w:color w:val="auto"/>
        </w:rPr>
        <w:t>. Subject to Article 29.6(3) and subject to Holder’s right to rescind a Notice of Conversion pursuant to Article</w:t>
      </w:r>
    </w:p>
    <w:p>
      <w:pPr>
        <w:spacing w:after="0" w:line="29" w:lineRule="exact"/>
        <w:rPr>
          <w:rFonts w:ascii="Times New Roman" w:cs="Times New Roman" w:eastAsia="Times New Roman" w:hAnsi="Times New Roman"/>
          <w:sz w:val="18"/>
          <w:szCs w:val="18"/>
          <w:color w:val="auto"/>
        </w:rPr>
      </w:pPr>
    </w:p>
    <w:p>
      <w:pPr>
        <w:ind w:left="644"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29.6(4)(a), the Company’s obligation to issue and deliver the Conversion Shares upon conversion of Series A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Article 29.6(3) and subject to Holder’s right to rescind a Notice of Conversion pursuant to Article 29.6(4)(a), in the event a Holder shall elect to convert any or all of its Series A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A Non-Voting Preferred Shares of such Holder shall have been sought and obtained by the Company, and the Company posts a surety bond for the benefit of such Holder in the amount of 150% of the value of the Conversion Shares into which would be converted the Series A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Article</w:t>
      </w:r>
    </w:p>
    <w:p>
      <w:pPr>
        <w:spacing w:after="0" w:line="2" w:lineRule="exact"/>
        <w:rPr>
          <w:rFonts w:ascii="Times New Roman" w:cs="Times New Roman" w:eastAsia="Times New Roman" w:hAnsi="Times New Roman"/>
          <w:sz w:val="18"/>
          <w:szCs w:val="18"/>
          <w:color w:val="auto"/>
        </w:rPr>
      </w:pPr>
    </w:p>
    <w:p>
      <w:pPr>
        <w:ind w:left="64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29.6(3) and subject to Holder’s right to rescind a Notice of Conversion pursuant to Article 29.6(4)(a), issue Conversion Shares upon a properly noticed conversion.</w:t>
      </w:r>
    </w:p>
    <w:p>
      <w:pPr>
        <w:spacing w:after="0" w:line="84" w:lineRule="exact"/>
        <w:rPr>
          <w:rFonts w:ascii="Times New Roman" w:cs="Times New Roman" w:eastAsia="Times New Roman" w:hAnsi="Times New Roman"/>
          <w:sz w:val="18"/>
          <w:szCs w:val="18"/>
          <w:color w:val="auto"/>
        </w:rPr>
      </w:pPr>
    </w:p>
    <w:p>
      <w:pPr>
        <w:ind w:left="644" w:right="60" w:hanging="644"/>
        <w:spacing w:after="0" w:line="271" w:lineRule="auto"/>
        <w:tabs>
          <w:tab w:leader="none" w:pos="644"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Cash Settlement</w:t>
      </w:r>
      <w:r>
        <w:rPr>
          <w:rFonts w:ascii="Times New Roman" w:cs="Times New Roman" w:eastAsia="Times New Roman" w:hAnsi="Times New Roman"/>
          <w:sz w:val="17"/>
          <w:szCs w:val="17"/>
          <w:color w:val="auto"/>
        </w:rPr>
        <w:t>. If, at any time after the initial issuance of the Series A Non-Voting Preferred Shares, the Company fails to deliver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such certificate or certificates, or electronically deliver (or instruct its transfer agent to electronically deliver) such shares in the case of a DWAC Delivery, pursuant to Article 29.6(4)(a) on or prior to the third (3rd) Trading Day after the Share Delivery Date applicable to such conversion, other than a failure caused by (i) materially incorrect or incomplete information provided by Holder to the Company or (ii) the application of the Beneficial Ownership Limitation, then, unless the Holder has rescinded the applicable Notice of Conversion pursuant to Article 29.6(4)(a), the Company shall, at the request of the Holder, pay an amount equal to the Fair Value (as defined below)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For purposes of this Article 29.6(4)(c), the “</w:t>
      </w:r>
      <w:r>
        <w:rPr>
          <w:rFonts w:ascii="Times New Roman" w:cs="Times New Roman" w:eastAsia="Times New Roman" w:hAnsi="Times New Roman"/>
          <w:sz w:val="17"/>
          <w:szCs w:val="17"/>
          <w:b w:val="1"/>
          <w:bCs w:val="1"/>
          <w:color w:val="auto"/>
        </w:rPr>
        <w:t>Fair Value</w:t>
      </w:r>
      <w:r>
        <w:rPr>
          <w:rFonts w:ascii="Times New Roman" w:cs="Times New Roman" w:eastAsia="Times New Roman" w:hAnsi="Times New Roman"/>
          <w:sz w:val="17"/>
          <w:szCs w:val="17"/>
          <w:color w:val="auto"/>
        </w:rPr>
        <w:t>” of shares shall be</w:t>
      </w:r>
    </w:p>
    <w:p>
      <w:pPr>
        <w:spacing w:after="0" w:line="10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4"/>
          </w:cols>
          <w:pgMar w:left="976" w:top="270" w:right="459" w:bottom="1440" w:gutter="0" w:footer="0" w:header="0"/>
        </w:sectPr>
      </w:pPr>
    </w:p>
    <w:bookmarkStart w:id="57" w:name="page58"/>
    <w:bookmarkEnd w:id="57"/>
    <w:p>
      <w:pPr>
        <w:ind w:left="66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fixed with reference to the last reported Closing Sale Price on the principal Trading Market on which the Common Shares are listed as of the Trading Day immediately prior to the date on which the Notice of Conversion is delivered to the Company. For the avoidance of doubt, the cash settlement provisions set forth in this Article 29.6(4)(c) shall be available irrespective of the reason for the Company’s failure to timely deliver Conversion Shares (other than a failure caused by (i) materially incorrect or incomplete information provided by Holder to the Company or (ii) the application of the Beneficial Ownership Limitation), including due to limitations set forth in Article 29.6(4)(f), due to applicable Trading Market rules.</w:t>
      </w:r>
    </w:p>
    <w:p>
      <w:pPr>
        <w:spacing w:after="0" w:line="91" w:lineRule="exact"/>
        <w:rPr>
          <w:sz w:val="20"/>
          <w:szCs w:val="20"/>
          <w:color w:val="auto"/>
        </w:rPr>
      </w:pPr>
    </w:p>
    <w:p>
      <w:pPr>
        <w:ind w:left="644" w:hanging="644"/>
        <w:spacing w:after="0" w:line="267" w:lineRule="auto"/>
        <w:tabs>
          <w:tab w:leader="none" w:pos="644"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Buy-In on Failure to Timely Deliver Certificates</w:t>
      </w:r>
      <w:r>
        <w:rPr>
          <w:rFonts w:ascii="Times New Roman" w:cs="Times New Roman" w:eastAsia="Times New Roman" w:hAnsi="Times New Roman"/>
          <w:sz w:val="17"/>
          <w:szCs w:val="17"/>
          <w:color w:val="auto"/>
        </w:rPr>
        <w:t>. If the Company fails to deliver to a Holder the applicable certificate or certificates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effect a DWAC Delivery, as applicable, by the Share Delivery Date pursuant to Article 29.6(4)(a) (other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Common Shares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then the Company shall (A) pay in cash to such Holder (in addition to any other remedies available to or elected by such Holder) the amount by which (x) such Holder’s total purchase price (including any brokerage commissions) for the Common Shares so purchased exceeds (y) the product of (1) the aggregate number of Common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A Non-Voting Preferred Shares equal to the number of Series A Non-Voting Preferred Shares submitted for conversion or deliver to such Holder the number of Common Shares that would have been issued if the Company had timely complied with its delivery requirements under Article 29.6(4)(a). For example, if a Holder purchases Common Shares having a total purchase price of $11,000 to cover a Buy-In with respect to an attempted conversion of Series A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Common Shares upon conversion of the Series A Non-Voting Preferred Shares as required pursuant to the terms hereof or the cash settlement remedy set forth in Article 29.6(4)(c); provided, however, that the Holder shall not be entitled to both (i) require the reissuance of the Series A Non-Voting Preferred Shares submitted for conversion for which such conversion was not timely honored and (ii) receive the number of Common Shares that would have been issued if the Company had timely complied with its delivery requirements under Article 29.6(4)</w:t>
      </w:r>
    </w:p>
    <w:p>
      <w:pPr>
        <w:spacing w:after="0" w:line="200" w:lineRule="exact"/>
        <w:rPr>
          <w:rFonts w:ascii="Times New Roman" w:cs="Times New Roman" w:eastAsia="Times New Roman" w:hAnsi="Times New Roman"/>
          <w:sz w:val="17"/>
          <w:szCs w:val="17"/>
          <w:color w:val="auto"/>
        </w:rPr>
      </w:pPr>
    </w:p>
    <w:p>
      <w:pPr>
        <w:ind w:left="6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w:t>
      </w:r>
    </w:p>
    <w:p>
      <w:pPr>
        <w:spacing w:after="0" w:line="110" w:lineRule="exact"/>
        <w:rPr>
          <w:rFonts w:ascii="Times New Roman" w:cs="Times New Roman" w:eastAsia="Times New Roman" w:hAnsi="Times New Roman"/>
          <w:sz w:val="17"/>
          <w:szCs w:val="17"/>
          <w:color w:val="auto"/>
        </w:rPr>
      </w:pPr>
    </w:p>
    <w:p>
      <w:pPr>
        <w:ind w:left="644" w:right="140" w:hanging="644"/>
        <w:spacing w:after="0" w:line="258" w:lineRule="auto"/>
        <w:tabs>
          <w:tab w:leader="none" w:pos="6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Reservation of Shares Issuable Upon Conversion</w:t>
      </w:r>
      <w:r>
        <w:rPr>
          <w:rFonts w:ascii="Times New Roman" w:cs="Times New Roman" w:eastAsia="Times New Roman" w:hAnsi="Times New Roman"/>
          <w:sz w:val="18"/>
          <w:szCs w:val="18"/>
          <w:color w:val="auto"/>
        </w:rPr>
        <w:t>. The Company covenants that at all times it will reserve and keep available out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unissued Common Shares for the sole purpose of issuance upon conversion of the Series A Non-Voting Preferred Shares, free from preemptive rights or any other actual contingent purchase rights of Persons other than the Holders of the Series A Non-Voting Preferred Shares, not less than such aggregate number of Common Shares as shall be issuable (taking into account the adjustments of Article 29.7) upon the conversion of all outstanding Series A Non-Voting Preferred Shares. The Company</w:t>
      </w:r>
    </w:p>
    <w:p>
      <w:pPr>
        <w:spacing w:after="0" w:line="11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4"/>
          </w:cols>
          <w:pgMar w:left="976" w:top="270" w:right="459" w:bottom="1440" w:gutter="0" w:footer="0" w:header="0"/>
        </w:sectPr>
      </w:pPr>
    </w:p>
    <w:bookmarkStart w:id="58" w:name="page59"/>
    <w:bookmarkEnd w:id="58"/>
    <w:p>
      <w:pPr>
        <w:ind w:left="1204"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that all Common Shares that shall be so issuable shall, upon issue, be duly authorized, validly issued, fully paid and non-assessable.</w:t>
      </w:r>
    </w:p>
    <w:p>
      <w:pPr>
        <w:spacing w:after="0" w:line="65" w:lineRule="exact"/>
        <w:rPr>
          <w:sz w:val="20"/>
          <w:szCs w:val="20"/>
          <w:color w:val="auto"/>
        </w:rPr>
      </w:pPr>
    </w:p>
    <w:p>
      <w:pPr>
        <w:ind w:left="1184" w:right="40" w:hanging="644"/>
        <w:spacing w:after="0" w:line="256" w:lineRule="auto"/>
        <w:tabs>
          <w:tab w:leader="none" w:pos="118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Fractional Shares</w:t>
      </w:r>
      <w:r>
        <w:rPr>
          <w:rFonts w:ascii="Times New Roman" w:cs="Times New Roman" w:eastAsia="Times New Roman" w:hAnsi="Times New Roman"/>
          <w:sz w:val="18"/>
          <w:szCs w:val="18"/>
          <w:color w:val="auto"/>
        </w:rPr>
        <w:t>. No fractional Common Shares shall be issued upon conversion of the Series A Non-Voting Preferred Shares,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or scrip for any such fractional shares shall be issued and no cash shall be paid for any such fractional shares. Any fractional Common Shares that a Holder of Series A Non-Voting Preferred Shares would otherwise be entitled to receive shall be aggregated with all fractional Common Shares issuable to such Holder and any remaining fractional shares shall be rounded up to the nearest whole share. Whether or not fractional shares would be issuable upon such conversion shall be determined on the basis of the total number of Series A Non-Voting Preferred Shares the Holder seeks to convert into Common Shares and the aggregate number of Common Shares issuable upon such conversion.</w:t>
      </w:r>
    </w:p>
    <w:p>
      <w:pPr>
        <w:spacing w:after="0" w:line="88" w:lineRule="exact"/>
        <w:rPr>
          <w:rFonts w:ascii="Times New Roman" w:cs="Times New Roman" w:eastAsia="Times New Roman" w:hAnsi="Times New Roman"/>
          <w:sz w:val="18"/>
          <w:szCs w:val="18"/>
          <w:color w:val="auto"/>
        </w:rPr>
      </w:pPr>
    </w:p>
    <w:p>
      <w:pPr>
        <w:ind w:left="1184" w:right="160" w:hanging="644"/>
        <w:spacing w:after="0" w:line="256" w:lineRule="auto"/>
        <w:tabs>
          <w:tab w:leader="none" w:pos="118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Taxes</w:t>
      </w:r>
      <w:r>
        <w:rPr>
          <w:rFonts w:ascii="Times New Roman" w:cs="Times New Roman" w:eastAsia="Times New Roman" w:hAnsi="Times New Roman"/>
          <w:sz w:val="18"/>
          <w:szCs w:val="18"/>
          <w:color w:val="auto"/>
        </w:rPr>
        <w:t>. The issuance of certificates for shares of the Common Shares upon conversion of the Series A Non-Voting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A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spacing w:after="0" w:line="90" w:lineRule="exact"/>
        <w:rPr>
          <w:sz w:val="20"/>
          <w:szCs w:val="20"/>
          <w:color w:val="auto"/>
        </w:rPr>
      </w:pPr>
    </w:p>
    <w:p>
      <w:pPr>
        <w:ind w:left="544" w:hanging="544"/>
        <w:spacing w:after="0" w:line="258" w:lineRule="auto"/>
        <w:tabs>
          <w:tab w:leader="none" w:pos="5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Shareholder</w:t>
      </w:r>
      <w:r>
        <w:rPr>
          <w:rFonts w:ascii="Times New Roman" w:cs="Times New Roman" w:eastAsia="Times New Roman" w:hAnsi="Times New Roman"/>
          <w:sz w:val="18"/>
          <w:szCs w:val="18"/>
          <w:color w:val="auto"/>
        </w:rPr>
        <w:t>. Upon each Conversion Date, (i) the Series A Non-Voting Preferred Shares being converted shall be deemed converted into Common Shares and (ii) the Holder’s rights as a holder of such converted Series A Non-Voting Preferred Shares shall cease and terminate, excepting only the right to receive certificates for such Common Shares and to any remedies provided herein or otherwise available at law or in equity to such Holder because of a failure by the Company to comply with the terms of this Article 29. In all cases, the Holder shall retain all of its rights and remedies for the Company’s failure to convert Series A Non-Voting Preferred Shares.</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29.7</w:t>
      </w:r>
      <w:r>
        <w:rPr>
          <w:sz w:val="20"/>
          <w:szCs w:val="20"/>
          <w:color w:val="auto"/>
        </w:rPr>
        <w:tab/>
      </w:r>
      <w:r>
        <w:rPr>
          <w:rFonts w:ascii="Times New Roman" w:cs="Times New Roman" w:eastAsia="Times New Roman" w:hAnsi="Times New Roman"/>
          <w:sz w:val="17"/>
          <w:szCs w:val="17"/>
          <w:b w:val="1"/>
          <w:bCs w:val="1"/>
          <w:color w:val="auto"/>
        </w:rPr>
        <w:t>Certain Adjustments.</w:t>
      </w:r>
    </w:p>
    <w:p>
      <w:pPr>
        <w:spacing w:after="0" w:line="135" w:lineRule="exact"/>
        <w:rPr>
          <w:sz w:val="20"/>
          <w:szCs w:val="20"/>
          <w:color w:val="auto"/>
        </w:rPr>
      </w:pPr>
    </w:p>
    <w:p>
      <w:pPr>
        <w:ind w:left="544" w:right="40" w:hanging="544"/>
        <w:spacing w:after="0" w:line="254" w:lineRule="auto"/>
        <w:tabs>
          <w:tab w:leader="none" w:pos="5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the Series A Non-Voting Preferred Shares are outstanding: (A) pays a stock dividend or otherwise makes a distribution or distributions payable in Common Shares (which, for avoidance of doubt, shall not include any Common Shares issued by the Company upon conversion of the Series A Non-Voting Preferred Shares) with respect to the then outstanding Common Shares; (B) subdivides outstanding Common Shares into a larger number of shares; or (C) consolidates (including by way of a reverse stock split) outstanding Common Shares into a smaller number of shares, then the Conversion Ratio shall be multiplied by a fraction of which the numerator shall be the number of Common Shares outstanding immediately after such event and of which the denominator shall be the number of Common Shares outstanding immediately before such event. Any adjustment made pursuant to this Article 29.7(1) shall become effective immediately after the record date for the determination of shareholders entitled to receive such dividend or distribution and shall become effective immediately after the effective date in the case of a subdivision or consolidation.</w:t>
      </w:r>
    </w:p>
    <w:p>
      <w:pPr>
        <w:spacing w:after="0" w:line="93" w:lineRule="exact"/>
        <w:rPr>
          <w:rFonts w:ascii="Times New Roman" w:cs="Times New Roman" w:eastAsia="Times New Roman" w:hAnsi="Times New Roman"/>
          <w:sz w:val="18"/>
          <w:szCs w:val="18"/>
          <w:color w:val="auto"/>
        </w:rPr>
      </w:pPr>
    </w:p>
    <w:p>
      <w:pPr>
        <w:ind w:left="544" w:right="280" w:hanging="544"/>
        <w:spacing w:after="0" w:line="261" w:lineRule="auto"/>
        <w:tabs>
          <w:tab w:leader="none" w:pos="5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the Series A Non-Voting Preferred Shares are outstanding, (A) the Company effects any amalgamation, merger or consolidation of the Company with or into another Person or any share sale to, or other business combination (including, without limitation, a reorganization, recapitalization, spin-off, share exchange or plan of arrangement) with or into another Person (other than such a transaction in which the Company is the surviving or continuing entity and its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59" w:name="page60"/>
    <w:bookmarkEnd w:id="59"/>
    <w:p>
      <w:pPr>
        <w:ind w:left="54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Shares are not exchanged for or converted into other securities, cash or property), (B) the Company effects any sale, lease, transfer or exclusive license of all or substantially all of its assets in one transaction or a series of related transactions, (C) any tender offer, exchange offer or issuer bid by the Company is completed pursuant to which more than 50% of the Common Shares not held by the Company are exchanged for or converted into other securities, cash or property, or (D) the Company effects any reclassification of the Common Shares or any compulsory share exchange (other than as a result of a dividend, subdivision or consolidation covered by Article 29.7(1)) pursuant to which the Common Shares are effectively converted into or exchanged for other securities, cash or property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upon any subsequent conversion of the Series A Non-Voting Preferred Shares each Holder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Common Share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For purposes of any such subsequent conversion, the determination of the Conversion Ratio shall be appropriately adjusted to apply to such Alternate Consideration based on the amount of Alternate Consideration issuable in respect of one Common Share in such Fundamental Transaction, and the Company shall adjust the Conversion Ratio in a reasonable manner reflecting the relative value of any different components of the Alternate Consideration. If holders of Common Shares are given any choice as to the securities, cash or property to be received in a Fundamental Transaction, then each Holder shall be given the same choice as to the Alternate Consideration it receives upon any conversion of the Series A Non-Voting Preferred Shares following such Fundamental Transaction. To the extent necessary to effectuate the foregoing provisions, any successor to the Company or surviving entity in such Fundamental Transaction shall ensure that its authorized share structure includes a class or series of shares with the same special rights or restrictions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Article 29.7(2) and ensuring that the Series A Non-Voting Preferred Shares (or any such replacement security) will be similarly adjusted upon any subsequent transaction analogous to a Fundamental Transaction. The Company shall cause to be delivered to each Holder, at its last address as it shall appear in the central securities register of the Company, written notice of any Fundamental Transaction at least 20 calendar days prior to the date on which such Fundamental Transaction is expected to become effective or close. Notwithstanding anything to the contrary contained herein, any Parent Legacy Transaction (as defined in the Merger Agreement) and the transactions contemplated by the CVR Agreement (as defined in the Merger Agreement) shall not constitute a Fundamental Transaction.</w:t>
      </w:r>
    </w:p>
    <w:p>
      <w:pPr>
        <w:spacing w:after="0" w:line="109" w:lineRule="exact"/>
        <w:rPr>
          <w:sz w:val="20"/>
          <w:szCs w:val="20"/>
          <w:color w:val="auto"/>
        </w:rPr>
      </w:pPr>
    </w:p>
    <w:p>
      <w:pPr>
        <w:ind w:left="544" w:right="200" w:hanging="544"/>
        <w:spacing w:after="0" w:line="266" w:lineRule="auto"/>
        <w:tabs>
          <w:tab w:leader="none" w:pos="5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Article 29.7 shall be made to the nearest cent or the nearest 1/100th of a share, as the case may be. For purposes of this Article 29.7, the number of Common Shares deemed to be issued and outstanding as of a given date shall be the sum of the number of Common Shares issued and outstanding.</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29.8</w:t>
      </w:r>
      <w:r>
        <w:rPr>
          <w:sz w:val="20"/>
          <w:szCs w:val="20"/>
          <w:color w:val="auto"/>
        </w:rPr>
        <w:tab/>
      </w:r>
      <w:r>
        <w:rPr>
          <w:rFonts w:ascii="Times New Roman" w:cs="Times New Roman" w:eastAsia="Times New Roman" w:hAnsi="Times New Roman"/>
          <w:sz w:val="17"/>
          <w:szCs w:val="17"/>
          <w:b w:val="1"/>
          <w:bCs w:val="1"/>
          <w:color w:val="auto"/>
        </w:rPr>
        <w:t>Redemption.</w:t>
      </w:r>
    </w:p>
    <w:p>
      <w:pPr>
        <w:spacing w:after="0" w:line="121"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Series A Non-Voting Preferred Shares shall not be redeemable; provided, however, that the foregoing shall not limit the ability of the Company to purchase or otherwise deal in such shares to the extent otherwise permitted hereby and by law, nor shall the foregoing limit the Holder’s rights under Article 29.6(4)(c).</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60" w:name="page61"/>
    <w:bookmarkEnd w:id="6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29.9</w:t>
      </w:r>
      <w:r>
        <w:rPr>
          <w:sz w:val="20"/>
          <w:szCs w:val="20"/>
          <w:color w:val="auto"/>
        </w:rPr>
        <w:tab/>
      </w:r>
      <w:r>
        <w:rPr>
          <w:rFonts w:ascii="Times New Roman" w:cs="Times New Roman" w:eastAsia="Times New Roman" w:hAnsi="Times New Roman"/>
          <w:sz w:val="17"/>
          <w:szCs w:val="17"/>
          <w:b w:val="1"/>
          <w:bCs w:val="1"/>
          <w:color w:val="auto"/>
        </w:rPr>
        <w:t>Transfer.</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Holder may transfer any Series A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A Non-Voting Preferred Shares may reasonably request in order to carry out the intent and accomplish the purposes of this Article 29.9. The transferee of any Series A Non-Voting Preferred Shares shall be subject to the Beneficial Ownership Limitation applicable to the transferor as of the time of such transfer.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29.10  Series A Non-Voting Preferred Shares Register.</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shall maintain at its principal executive offices (or such other office or agency of the Company as it may designate by notice to the Holders in accordance with Article 29.11), a register for the Series A Non-Voting Preferred Shares, in which the Company shall record (i) the name, address, and electronic mail address of each holder in whose name the Series A Non-Voting Preferred Shares have been issued and (ii) the name, address, and electronic mail address of each transferee of any Series A Non-Voting Preferred Shares. The Company may deem and treat the registered Holder of Series A Non-Voting Preferred Shares as the absolute owner thereof for the purpose of any conversion thereof and for all other purposes. The Company shall keep the register open and available at all times during business hours for inspection by any holder of Series A Non-Voting Preferred Shares or his, her or its legal representatives.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29.11  Notices.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Any notice required or permitted by the provisions of this Article 29 to be given to a Holder of Series A Non-Voting Preferred Shares shall be mailed, postage prepaid, to the post office address last shown on the records of the Company, or given by electronic communication in compliance with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and shall be deemed sent upon such mailing or electronic transmission.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29.12  Book-Entry; Certificates.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Series A Non-Voting Preferred Shares will be issued in book-entry form; provided that, if a Holder requests that such Holder’s Series A Non-Voting Preferred Shares be issued in certificated form, the Company will instead issue a share certificate to such Holder representing such Holder’s Series A Non-Voting Preferred Shares. To the extent that any Series A Non-Voting Preferred Shares are issued in book-entry form, references herein to “certificates” shall instead refer to the book-entry notation relating to such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29.13  Lost or Mutilated Series A Non-Voting Preferred Shares Certificate.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Holder’s Series A Non-Voting Preferred Shares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A Non-Voting Preferred Shares so mutilated, lost, stolen or destroyed, but only upon receipt of evidence of such loss, theft or destruction of such certificate, and of the ownership hereof reasonably satisfactory to the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29.14  Waiver.</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waiver by the Company or a Holder of a breach of any provision of this Article 29 shall not operate as or be construed to be a waiver of any other breach of such provision or of any breach of any other provision of this Article 29 or a waiver by any other Holders. The failure of the Company or a Holder to insist upon strict adherence to any term of this Article 29 on one or more occasions shall not be considered a waiver or deprive that party (or any other Holder) of the right thereafter to insist upon strict adherence to that term or any other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61" w:name="page62"/>
    <w:bookmarkEnd w:id="6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this Article 29. Any waiver by the Company or a Holder must be in writing. Notwithstanding any provision in this Article 29 to the contrary, any provision contained herein and any right of the Holders of Series A Non-Voting Preferred Shares granted hereunder may be waived as to all Series A Non-Voting Preferred Shares (and the Holders thereof) upon the written consent of the Holders of not less than a majority of the Series A Non-Voting Preferred Shares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29.15  Severability.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29.16  Status of Converted Series A Non-Voting Preferred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Series A Non-Voting Preferred Shares shall be converted or redeemed by the Company, such shares shall, to the fullest extent permitted by applicable law, be retired and cancelled upon such acquisition, and shall not be reissued. Any Series A Non-Voting Preferred Share so acquired shall, upon its retirement and cancellation, and upon the taking of any action required by applicable law, resume the status of authorized but unissued Preferred Shares and shall no longer be designated as Series A Non-Voting Preferred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BE EXECUTED BY THE REGISTERED HOLDER IN ORDER TO CONVERT SERIES A NON-VOTING CONVERTIBLE PREFERRED SHARES)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Holder hereby irrevocably elects to convert the number of Series A Non-Voting Preferred Shares indicated below, represented in book-entry form, into Common shares without par value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INMED PHARMACEUTICALS INC., a British Columbia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date written below. If securities are to be issued in the name of a Person other than the undersigned, the undersigned will pay all transfer taxes payable with respect thereto. Capitalized terms used but not defined herein shall have the meaning ascribed to such terms in the Articles of the Company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hereof, the number of Common Shares beneficially owned by the undersigned Holder (together with such Holder’s Attribution Parties), including the number of Common Shares issuable upon conversion of the Series A Non-Voting Preferred Shares subject to this Notice of Conversion, but excluding the number of Common Shares which are issuable upon (A) conversion of the remaining, unconverted Series A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Article 29.6(3) of the Articles,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A Non-Voting Preferred Shares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A Non-Voting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DWAC Delivery, please provide the following: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Broker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-7620</wp:posOffset>
            </wp:positionV>
            <wp:extent cx="11430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-7620</wp:posOffset>
            </wp:positionV>
            <wp:extent cx="1028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NASDAQ: INM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834515" cy="9772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34515" cy="97726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1800 – 510 West Georgia St.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Vancouver, BC, Canada V6B 0M3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+1.604.669.7207</w:t>
      </w:r>
    </w:p>
    <w:p>
      <w:pPr>
        <w:spacing w:after="0" w:line="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Email: info@inmedpharma.com</w:t>
      </w:r>
    </w:p>
    <w:p>
      <w:pPr>
        <w:spacing w:after="0" w:line="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www.inmedpharma.com</w:t>
      </w:r>
    </w:p>
    <w:p>
      <w:pPr>
        <w:spacing w:after="0" w:line="32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InMed Announces Results of 2026 Annual General and Special Meeting, Approval of Corporate Name Change and Completion of Share Consolidation</w:t>
      </w:r>
    </w:p>
    <w:p>
      <w:pPr>
        <w:spacing w:after="0" w:line="1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Vancouver, British Columbia – November 4, 2026. InMed Pharmaceuticals Inc. (now Mentari Therapeutics, Inc.) (NASDAQ: INM)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pharmaceutical company focused on developing a pipeline of proprietary small molecule drug candidates for diseases with high unmet medical needs, confirmed that, at its annual general and special meeting of shareholders held today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the matters put forward before shareholders for consideration and approval, as set out in the Company’s proxy statement/prospectus and management information circular dated October 1, 2026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were voted upon by the Company’s shareholders. A total of 3,630,088 common shares of the Company (each, a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representing approximately 66.08% of the Company’s 5,493,735 issued and outstanding common shares, were represented in person or by proxy at the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item of business voted on at the Meeting was approved by the shareholders. The voting results for each item of business are set out below.</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 the Company is also pleased to announce that, following the Meeting, it has completed the previously announced consolidation of its Common Shares on the basis of one (1) post-consolidation Common Share for each ten (10) pre-consolidation Common Shares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Per the requirements of the Business Corporations Act (British Columbia) (the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if, as a result of the Consolidation, a shareholder became entitled to a fractional share, such fractional share was rounded up to the nearest whole number if 0.5 or greater and down to the nearest whole number if less than 0.5, and no cash or other consideration was paid in respect of rounding. As of November 4, 2026, immediately prior to the completion of the Consolidation, there were 5,493,735 Common Shares issued and outstanding in the capital of the Company. Following the completion of the Consolidation, there were approximately 549,374 Common Shares issued and outstanding. As a result of the Consolidation, proportionate adjustments were made to the per share exercise price and the number of Common Shares issuable upon the exercise of all outstanding stock options and warrants of the Company, and the number of Common Shares reserved for issuance under the Company’s existing equity incentive plan was reduced proportionately.</w:t>
      </w:r>
    </w:p>
    <w:p>
      <w:pPr>
        <w:spacing w:after="0" w:line="1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Effective at the commencement of trading on November 5, 2026, the Common Shares are expected to begin trading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on a post-Consolidation basis under the Company’s existing symbol “INM”, with a new CUSIP number of 457637809 and a new ISIN number of CA4576378091.</w:t>
      </w:r>
    </w:p>
    <w:p>
      <w:pPr>
        <w:spacing w:after="0" w:line="176"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The Company is also pleased to announce that, as contemplated by the Merger Agreement (as defined below), the Company has legally changed its name to Mentari Therapeutics, Inc., effective today.</w:t>
      </w:r>
    </w:p>
    <w:p>
      <w:pPr>
        <w:sectPr>
          <w:pgSz w:w="11900" w:h="16838" w:orient="portrait"/>
          <w:cols w:equalWidth="0" w:num="1">
            <w:col w:w="11020"/>
          </w:cols>
          <w:pgMar w:left="440" w:top="117"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Merger (as defined below) and pursuant to a contingent value rights agreement to be entered into on or prior to the closing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the Company expects to issue to shareholders of record as of the close of business on November 5,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Distribution Record Date</w:t>
      </w:r>
      <w:r>
        <w:rPr>
          <w:rFonts w:ascii="Times New Roman" w:cs="Times New Roman" w:eastAsia="Times New Roman" w:hAnsi="Times New Roman"/>
          <w:sz w:val="18"/>
          <w:szCs w:val="18"/>
          <w:color w:val="auto"/>
        </w:rPr>
        <w:t>”) one contingent value right (each,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for each outstanding Common Share held by such shareholder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Distribution Record Date on a post-Consolidation basis, with each CVR representing the right to receive contingent payments upon the occurrence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certain events set forth in, and subject to and in accordance with the terms of, the CVR Agreement. Investors who purchase Common Shares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November 5, 2026 are not expected to be holders of record as of the CVR Distribution Record Date. Common Shares to be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surrender of outstanding in-the-money stock options of the Company, as contemplated in connection with the Merger, will not entail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corresponding CVR entitlement.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Nasdaq Share Issuance Proposal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55"/>
        </w:trPr>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2400" w:type="dxa"/>
            <w:vAlign w:val="bottom"/>
            <w:tcBorders>
              <w:top w:val="single" w:sz="8" w:color="auto"/>
            </w:tcBorders>
            <w:gridSpan w:val="3"/>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tcBorders>
              <w:top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138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2,615,030</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97.295%</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13,420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0.499%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59,288</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2.206%</w:t>
            </w:r>
          </w:p>
        </w:tc>
      </w:tr>
    </w:tbl>
    <w:p>
      <w:pPr>
        <w:spacing w:after="0" w:line="1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approval of the Nasdaq Share Issuance Proposal approved (i) the issuance of Common Shares (including Common Shares issuable upon conversion of the Series A Non-Voting Preferred Shares of the Company), which will represent more than 20% of the Common Shares outstanding immediately prior to the First Merger (as defined below), to stockholders of Mentari Therapeutics, Inc., a Delaware corporation (“</w:t>
      </w:r>
      <w:r>
        <w:rPr>
          <w:rFonts w:ascii="Times New Roman" w:cs="Times New Roman" w:eastAsia="Times New Roman" w:hAnsi="Times New Roman"/>
          <w:sz w:val="18"/>
          <w:szCs w:val="18"/>
          <w:b w:val="1"/>
          <w:bCs w:val="1"/>
          <w:color w:val="auto"/>
        </w:rPr>
        <w:t>Mentari</w:t>
      </w:r>
      <w:r>
        <w:rPr>
          <w:rFonts w:ascii="Times New Roman" w:cs="Times New Roman" w:eastAsia="Times New Roman" w:hAnsi="Times New Roman"/>
          <w:sz w:val="18"/>
          <w:szCs w:val="18"/>
          <w:color w:val="auto"/>
        </w:rPr>
        <w:t>”), pursuant to the agreement and plan of merger and reorganization dated May 19, 2026 (as amended,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among the Company, Mentari, Indigo Merger Sub Corp. (“</w:t>
      </w:r>
      <w:r>
        <w:rPr>
          <w:rFonts w:ascii="Times New Roman" w:cs="Times New Roman" w:eastAsia="Times New Roman" w:hAnsi="Times New Roman"/>
          <w:sz w:val="18"/>
          <w:szCs w:val="18"/>
          <w:b w:val="1"/>
          <w:bCs w:val="1"/>
          <w:color w:val="auto"/>
        </w:rPr>
        <w:t>First Merger Sub</w:t>
      </w:r>
      <w:r>
        <w:rPr>
          <w:rFonts w:ascii="Times New Roman" w:cs="Times New Roman" w:eastAsia="Times New Roman" w:hAnsi="Times New Roman"/>
          <w:sz w:val="18"/>
          <w:szCs w:val="18"/>
          <w:color w:val="auto"/>
        </w:rPr>
        <w:t>”) and Indigo Merger Sub II, LLC (“</w:t>
      </w:r>
      <w:r>
        <w:rPr>
          <w:rFonts w:ascii="Times New Roman" w:cs="Times New Roman" w:eastAsia="Times New Roman" w:hAnsi="Times New Roman"/>
          <w:sz w:val="18"/>
          <w:szCs w:val="18"/>
          <w:b w:val="1"/>
          <w:bCs w:val="1"/>
          <w:color w:val="auto"/>
        </w:rPr>
        <w:t>Second Merger Sub</w:t>
      </w:r>
      <w:r>
        <w:rPr>
          <w:rFonts w:ascii="Times New Roman" w:cs="Times New Roman" w:eastAsia="Times New Roman" w:hAnsi="Times New Roman"/>
          <w:sz w:val="18"/>
          <w:szCs w:val="18"/>
          <w:color w:val="auto"/>
        </w:rPr>
        <w:t>”), whereby, among other things, (A) First Merger Sub will merge with and into Mentari, with Mentari continuing as a wholly owned subsidiary of the Company and the surviving corporation of the merger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and (B) Mentari will merge with and into Second Merger Sub, with Second Merger Sub surviving as a wholly owned subsidiary of the Company (together with the First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 the change of control of the Company resulting from the First Merger, pursuant to Nasdaq Listing Rules 5635(a) and 5635(b),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 Return of Capital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56"/>
        </w:trPr>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2400" w:type="dxa"/>
            <w:vAlign w:val="bottom"/>
            <w:tcBorders>
              <w:top w:val="single" w:sz="8" w:color="auto"/>
            </w:tcBorders>
            <w:gridSpan w:val="3"/>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tcBorders>
              <w:top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138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2,615,290</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97.304%</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13,090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0.487%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59,358</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2.208%</w:t>
            </w:r>
          </w:p>
        </w:tc>
      </w:tr>
    </w:tbl>
    <w:p>
      <w:pPr>
        <w:spacing w:after="0" w:line="19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approval of the Return of Capital Proposal approved, via special resolution, one or more reductions of the capital of the Company in respect of the Common Shares (and, in the case of an InMed Legacy Transaction Distribution (as defined in the Circular), the InMed Preferred Shares (as defined in the Circular), if applicable) in connection with the distributions to the Company’s shareholders contemplated by the Merger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3 - Redomestication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420" w:type="dxa"/>
            <w:vAlign w:val="bottom"/>
          </w:tcPr>
          <w:p>
            <w:pPr>
              <w:spacing w:after="0"/>
              <w:rPr>
                <w:sz w:val="16"/>
                <w:szCs w:val="16"/>
                <w:color w:val="auto"/>
              </w:rPr>
            </w:pPr>
          </w:p>
        </w:tc>
        <w:tc>
          <w:tcPr>
            <w:tcW w:w="25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80" w:type="dxa"/>
            <w:vAlign w:val="bottom"/>
          </w:tcPr>
          <w:p>
            <w:pPr>
              <w:spacing w:after="0"/>
              <w:rPr>
                <w:sz w:val="16"/>
                <w:szCs w:val="16"/>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56"/>
        </w:trPr>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bottom w:val="single" w:sz="8" w:color="CCEEFF"/>
            </w:tcBorders>
          </w:tcPr>
          <w:p>
            <w:pPr>
              <w:spacing w:after="0"/>
              <w:rPr>
                <w:sz w:val="13"/>
                <w:szCs w:val="13"/>
                <w:color w:val="auto"/>
              </w:rPr>
            </w:pPr>
          </w:p>
        </w:tc>
        <w:tc>
          <w:tcPr>
            <w:tcW w:w="1760" w:type="dxa"/>
            <w:vAlign w:val="bottom"/>
            <w:tcBorders>
              <w:top w:val="single" w:sz="8" w:color="auto"/>
              <w:bottom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ind w:left="379"/>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Borders>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7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2,387,379</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88.825%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240,296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60,063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2.235%</w:t>
            </w:r>
          </w:p>
        </w:tc>
      </w:tr>
    </w:tbl>
    <w:p>
      <w:pPr>
        <w:sectPr>
          <w:pgSz w:w="11900" w:h="16838" w:orient="portrait"/>
          <w:cols w:equalWidth="0" w:num="1">
            <w:col w:w="11020"/>
          </w:cols>
          <w:pgMar w:left="440" w:top="270" w:right="439" w:bottom="1440" w:gutter="0" w:footer="0" w:header="0"/>
        </w:sectPr>
      </w:pPr>
    </w:p>
    <w:bookmarkStart w:id="65" w:name="page66"/>
    <w:bookmarkEnd w:id="6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approval of the Redomestication Proposal approved, via special resolution, the redomestication of the Company from British Columbia, Canada to the State of Nevada by continuation out of British Columbia under British Columbia law and domestication under Nevada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4 - Stock Plan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420" w:type="dxa"/>
            <w:vAlign w:val="bottom"/>
          </w:tcPr>
          <w:p>
            <w:pPr>
              <w:spacing w:after="0"/>
              <w:rPr>
                <w:sz w:val="16"/>
                <w:szCs w:val="16"/>
                <w:color w:val="auto"/>
              </w:rPr>
            </w:pPr>
          </w:p>
        </w:tc>
        <w:tc>
          <w:tcPr>
            <w:tcW w:w="25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80" w:type="dxa"/>
            <w:vAlign w:val="bottom"/>
          </w:tcPr>
          <w:p>
            <w:pPr>
              <w:spacing w:after="0"/>
              <w:rPr>
                <w:sz w:val="16"/>
                <w:szCs w:val="16"/>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55"/>
        </w:trPr>
        <w:tc>
          <w:tcPr>
            <w:tcW w:w="13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bottom w:val="single" w:sz="8" w:color="CCEEFF"/>
            </w:tcBorders>
          </w:tcPr>
          <w:p>
            <w:pPr>
              <w:spacing w:after="0"/>
              <w:rPr>
                <w:sz w:val="13"/>
                <w:szCs w:val="13"/>
                <w:color w:val="auto"/>
              </w:rPr>
            </w:pPr>
          </w:p>
        </w:tc>
        <w:tc>
          <w:tcPr>
            <w:tcW w:w="1760" w:type="dxa"/>
            <w:vAlign w:val="bottom"/>
            <w:tcBorders>
              <w:top w:val="single" w:sz="8" w:color="auto"/>
              <w:bottom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ind w:left="379"/>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Borders>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7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2,381,747</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88.615%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245,657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60,334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2.245%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the Stock Plan Proposal approved the Mentari Therapeutics, Inc. 2026 Stock Incentive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5 - ESPP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56"/>
        </w:trPr>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2400" w:type="dxa"/>
            <w:vAlign w:val="bottom"/>
            <w:tcBorders>
              <w:top w:val="single" w:sz="8" w:color="auto"/>
            </w:tcBorders>
            <w:gridSpan w:val="3"/>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tcBorders>
              <w:top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138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2,607,257</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97.006%</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21,352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0.794%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59,129</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the ESPP Proposal approved the Mentari Therapeutics, Inc. 2026 Employee Stock Purchase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6 - Merger Compensation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55"/>
        </w:trPr>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2400" w:type="dxa"/>
            <w:vAlign w:val="bottom"/>
            <w:tcBorders>
              <w:top w:val="single" w:sz="8" w:color="auto"/>
            </w:tcBorders>
            <w:gridSpan w:val="3"/>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tcBorders>
              <w:top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138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2,605,280</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96.932%</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22,311</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0.830%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60,147</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2.238%</w:t>
            </w: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approval of the Merger Compensation Proposal approved, on an advisory basis, certain compensation arrangements for the Company’s named executive officers that are based on or otherwise relate to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7 - Financial Statements Proposal</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together with the auditor’s report thereon, for the fiscal year ended June 30, 2026, were received by the shareholders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8 - Director Election Proposal</w:t>
      </w: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5560" w:type="dxa"/>
            <w:vAlign w:val="bottom"/>
            <w:vMerge w:val="restart"/>
          </w:tcPr>
          <w:p>
            <w:pPr>
              <w:spacing w:after="0"/>
              <w:rPr>
                <w:sz w:val="15"/>
                <w:szCs w:val="15"/>
                <w:color w:val="auto"/>
              </w:rPr>
            </w:pPr>
          </w:p>
        </w:tc>
        <w:tc>
          <w:tcPr>
            <w:tcW w:w="218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8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Withheld Votes</w:t>
            </w:r>
          </w:p>
        </w:tc>
        <w:tc>
          <w:tcPr>
            <w:tcW w:w="0" w:type="dxa"/>
            <w:vAlign w:val="bottom"/>
          </w:tcPr>
          <w:p>
            <w:pPr>
              <w:spacing w:after="0"/>
              <w:rPr>
                <w:sz w:val="1"/>
                <w:szCs w:val="1"/>
                <w:color w:val="auto"/>
              </w:rPr>
            </w:pPr>
          </w:p>
        </w:tc>
      </w:tr>
      <w:tr>
        <w:trPr>
          <w:trHeight w:val="134"/>
        </w:trPr>
        <w:tc>
          <w:tcPr>
            <w:tcW w:w="520" w:type="dxa"/>
            <w:vAlign w:val="bottom"/>
            <w:tcBorders>
              <w:bottom w:val="single" w:sz="8" w:color="auto"/>
            </w:tcBorders>
            <w:vMerge w:val="continue"/>
          </w:tcPr>
          <w:p>
            <w:pPr>
              <w:spacing w:after="0"/>
              <w:rPr>
                <w:sz w:val="11"/>
                <w:szCs w:val="11"/>
                <w:color w:val="auto"/>
              </w:rPr>
            </w:pPr>
          </w:p>
        </w:tc>
        <w:tc>
          <w:tcPr>
            <w:tcW w:w="5560" w:type="dxa"/>
            <w:vAlign w:val="bottom"/>
            <w:vMerge w:val="continue"/>
          </w:tcPr>
          <w:p>
            <w:pPr>
              <w:spacing w:after="0"/>
              <w:rPr>
                <w:sz w:val="11"/>
                <w:szCs w:val="11"/>
                <w:color w:val="auto"/>
              </w:rPr>
            </w:pPr>
          </w:p>
        </w:tc>
        <w:tc>
          <w:tcPr>
            <w:tcW w:w="11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380" w:type="dxa"/>
            <w:vAlign w:val="bottom"/>
          </w:tcPr>
          <w:p>
            <w:pPr>
              <w:spacing w:after="0"/>
              <w:rPr>
                <w:sz w:val="11"/>
                <w:szCs w:val="11"/>
                <w:color w:val="auto"/>
              </w:rPr>
            </w:pPr>
          </w:p>
        </w:tc>
        <w:tc>
          <w:tcPr>
            <w:tcW w:w="98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Hull</w:t>
            </w: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2,613,186</w:t>
            </w:r>
          </w:p>
        </w:tc>
        <w:tc>
          <w:tcPr>
            <w:tcW w:w="3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97.226%</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74,552</w:t>
            </w:r>
          </w:p>
        </w:tc>
        <w:tc>
          <w:tcPr>
            <w:tcW w:w="3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Lemerond</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2,399,806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89.287%</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287,932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Klompas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2,616,039</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97.332%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71,699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Bathery</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2,616,259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97.341%</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71,479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A. Adams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2,613,397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97.234%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74,341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of the director nominees listed above was elected as a director of the Company to hold office until the next annual meeting of shareholders or until his or her successor is duly elected or appointed, unless such office is earlier vacated or such director becomes disqualified; provided that, the board of directors of the Company will be reconstituted upon completion of the Merger in accordance with the Merger Agreement.</w:t>
      </w:r>
    </w:p>
    <w:p>
      <w:pPr>
        <w:sectPr>
          <w:pgSz w:w="11900" w:h="16838" w:orient="portrait"/>
          <w:cols w:equalWidth="0" w:num="1">
            <w:col w:w="11020"/>
          </w:cols>
          <w:pgMar w:left="440" w:top="270"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9 - Auditor Proposal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34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00" w:type="dxa"/>
            <w:vAlign w:val="bottom"/>
          </w:tcPr>
          <w:p>
            <w:pPr>
              <w:spacing w:after="0"/>
              <w:rPr>
                <w:sz w:val="16"/>
                <w:szCs w:val="16"/>
                <w:color w:val="auto"/>
              </w:rPr>
            </w:pPr>
          </w:p>
        </w:tc>
        <w:tc>
          <w:tcPr>
            <w:tcW w:w="35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WITHHOLD</w:t>
            </w:r>
          </w:p>
        </w:tc>
      </w:tr>
      <w:tr>
        <w:trPr>
          <w:trHeight w:val="156"/>
        </w:trPr>
        <w:tc>
          <w:tcPr>
            <w:tcW w:w="2120" w:type="dxa"/>
            <w:vAlign w:val="bottom"/>
            <w:tcBorders>
              <w:top w:val="single" w:sz="8" w:color="auto"/>
              <w:bottom w:val="single" w:sz="8" w:color="auto"/>
            </w:tcBorders>
          </w:tcPr>
          <w:p>
            <w:pPr>
              <w:jc w:val="center"/>
              <w:ind w:left="419"/>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2620" w:type="dxa"/>
            <w:vAlign w:val="bottom"/>
            <w:tcBorders>
              <w:top w:val="single" w:sz="8" w:color="auto"/>
              <w:bottom w:val="single" w:sz="8" w:color="auto"/>
            </w:tcBorders>
          </w:tcPr>
          <w:p>
            <w:pPr>
              <w:ind w:left="98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3"/>
                <w:szCs w:val="13"/>
                <w:color w:val="auto"/>
              </w:rPr>
            </w:pPr>
          </w:p>
        </w:tc>
        <w:tc>
          <w:tcPr>
            <w:tcW w:w="2000" w:type="dxa"/>
            <w:vAlign w:val="bottom"/>
            <w:tcBorders>
              <w:top w:val="single" w:sz="8" w:color="auto"/>
              <w:bottom w:val="single" w:sz="8" w:color="auto"/>
            </w:tcBorders>
          </w:tcPr>
          <w:p>
            <w:pPr>
              <w:jc w:val="center"/>
              <w:ind w:left="679"/>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26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21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3,482,806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95.943%</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147,282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4.057%</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Shareholders voted to re-appoint CBIZ CPAs P.C. as the Company’s auditors for the ensuing year and to authorize the directors to fix the remuneration to be paid to the auditors; provided that, Ernst &amp; Young, LLP is expected to be appointed for such year if the Merger is consummated.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10 - Adjournment Proposal</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Meeting, the Company also solicited proxies with respect to a proposal to adjourn the Meeting, if necessary, to solicit additional proxies if there is not a sufficient number of votes in favor of the Nasdaq Share Issuance Proposal. As there were sufficient votes to approve the Nasdaq Share Issuance Proposal, an adjournment of the Meeting was determined not to be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Meeting, the Company has filed, or will file, a report of voting results on SEDAR+ at www.sedarplus.ca.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Merger</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Consummation of the Merger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beginning on page 214 of the Circular.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pharmaceutical company focused on developing a pipeline of proprietary small molecule drug candidates targeting the CB1/CB2 receptors. The Company’s pipeline consists of three separate programs in the treatment of Alzheimer’s, ocular and dermatological indications. For more information, visit </w:t>
      </w:r>
      <w:r>
        <w:rPr>
          <w:rFonts w:ascii="Times New Roman" w:cs="Times New Roman" w:eastAsia="Times New Roman" w:hAnsi="Times New Roman"/>
          <w:sz w:val="18"/>
          <w:szCs w:val="18"/>
          <w:u w:val="single" w:color="auto"/>
          <w:color w:val="auto"/>
        </w:rPr>
        <w:t>www.inmedpharma.com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Clancy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+1 604 416 0999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ir@inmedpharma.com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This news release contains “forward-looking information” and “forward-looking statements” (collectively, “</w:t>
      </w:r>
      <w:r>
        <w:rPr>
          <w:rFonts w:ascii="Times New Roman" w:cs="Times New Roman" w:eastAsia="Times New Roman" w:hAnsi="Times New Roman"/>
          <w:sz w:val="18"/>
          <w:szCs w:val="18"/>
          <w:b w:val="1"/>
          <w:bCs w:val="1"/>
          <w:color w:val="auto"/>
        </w:rPr>
        <w:t>forward-looking information</w:t>
      </w:r>
      <w:r>
        <w:rPr>
          <w:rFonts w:ascii="Times New Roman" w:cs="Times New Roman" w:eastAsia="Times New Roman" w:hAnsi="Times New Roman"/>
          <w:sz w:val="18"/>
          <w:szCs w:val="18"/>
          <w:color w:val="auto"/>
        </w:rPr>
        <w:t>”) within the meaning of applicable securities laws. Forward-looking statements are frequently, but not always, identified by words such as “expects”, “anticipates”, “believes”, “intends”, “potential”, “possible”, “would” and similar expressions. Such</w:t>
      </w:r>
    </w:p>
    <w:p>
      <w:pPr>
        <w:sectPr>
          <w:pgSz w:w="11900" w:h="16838" w:orient="portrait"/>
          <w:cols w:equalWidth="0" w:num="1">
            <w:col w:w="11020"/>
          </w:cols>
          <w:pgMar w:left="440" w:top="266" w:right="439" w:bottom="1440" w:gutter="0" w:footer="0" w:header="0"/>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based as they are on current expectations of management, inherently involve numerous risks, uncertainties and assumptions, known and unknown, many of which are beyond our control. Forward-looking information is based on management’s current expectations and beliefs and is subject to a number of risks and uncertainties that could cause actual results to differ materially from those described in the forward-looking statements. Without limiting the foregoing, forward-looking information in this news release includes, but is not limited to, statements about: developing a pipeline of proprietary small molecule drug candidates for diseases with high unmet medical needs, the Merger, the change of control of the Company that will result from the First Merger, the closing of the Merger (if at all) and the expected timing thereof, the reductions in the capital of the Company in connection with any distributions to the Company’s shareholders, including any InMed Legacy Transaction Distributions, the redomestication of the Company from British Columbia, Canada to the State of Nevada and the timing thereof, the reconstitution of the board of directors of the Company upon the completion of the Merger, the Mentari Therapeutics, Inc. 2026 Stock Incentive Plan, the Mentari Therapeutics, Inc. 2026 Employee Stock Purchase Plan, Merger-related compensation arrangements for the Company’s named executive officers, the appointment of Ernst &amp; Young, LLP as the Company’s auditor for the ensuing year, the satisfaction or waiver of closing conditions under the Merger Agreement, and trading of the Company’s Common Shares on Nasdaq post-Consolidation.</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there are known and unknown risk factors which could cause the Company’s actual results, performance, or achievements to be materially different from any future results, performance or achievements expressed or implied by the forward-looking information contained herein. These risks and uncertainties include, but are not limited to, risks related to: the Merger may not be completed on the anticipated timeline or at all, the failure to satisfy the conditions to closing, the outcome of preclinical studies and clinical trials, regulatory approval processes, the combined company’s reliance on third parties, protection of intellectual property, the combined company’s need for substantial additional funding and Nasdaq’s effecting of the Consolidation and approval of the initial listing application of the combined company. Should one or more of these risks or uncertainties materialize, or should any of the Company’s, Mentari’s or the combined company’s assumptions prove incorrect, actual results may vary in material respects from those projected in these forward-looking statements. A complete discussion of the risks and uncertainties facing the Company’s stand-alone business is disclosed in the Company’s Annual Report on Form 10-K, as may be updated from time to time by the Company’s Quarterly Reports on Form 10-Q and other filings with the Securities and Exchange Commission available at www.sec.gov.</w:t>
      </w:r>
    </w:p>
    <w:p>
      <w:pPr>
        <w:spacing w:after="0" w:line="1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All forward-looking information herein is qualified in its entirety by this cautionary statement, and the Company disclaims any obligation to revise or update any such forward-looking information or to publicly announce the result of any revisions to any of the forward-looking information contained herein to reflect future results, events or developments, except as required by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ectPr>
          <w:pgSz w:w="11900" w:h="16838" w:orient="portrait"/>
          <w:cols w:equalWidth="0" w:num="1">
            <w:col w:w="11000"/>
          </w:cols>
          <w:pgMar w:left="440" w:top="270" w:right="459" w:bottom="1440" w:gutter="0" w:footer="0" w:header="0"/>
        </w:sectPr>
      </w:pPr>
    </w:p>
    <w:bookmarkStart w:id="68" w:name="page69"/>
    <w:bookmarkEnd w:id="68"/>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SEC NOR ANY STATE SECURITIES COMMISSION HAS APPROVED OR DISAPPROVED OF THE SECURITIES OR DETERMINED IF THIS COMMUNICATION IS TRUTHFUL OR COMPLETE.</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1."/>
      <w:numFmt w:val="upperLetter"/>
      <w:start w:val="9"/>
    </w:lvl>
    <w:lvl w:ilvl="1">
      <w:lvlJc w:val="left"/>
      <w:lvlText w:val="(%2)"/>
      <w:numFmt w:val="lowerLetter"/>
      <w:start w:val="1"/>
    </w:lvl>
  </w:abstractNum>
  <w:abstractNum w:abstractNumId="3">
    <w:nsid w:val="799D0247"/>
    <w:multiLevelType w:val="hybridMultilevel"/>
    <w:lvl w:ilvl="0">
      <w:lvlJc w:val="left"/>
      <w:lvlText w:val="%1."/>
      <w:numFmt w:val="decimal"/>
      <w:start w:val="2"/>
    </w:lvl>
  </w:abstractNum>
  <w:abstractNum w:abstractNumId="4">
    <w:nsid w:val="6B94764"/>
    <w:multiLevelType w:val="hybridMultilevel"/>
    <w:lvl w:ilvl="0">
      <w:lvlJc w:val="left"/>
      <w:lvlText w:val="%1."/>
      <w:numFmt w:val="decimal"/>
      <w:start w:val="1"/>
    </w:lvl>
  </w:abstractNum>
  <w:abstractNum w:abstractNumId="5">
    <w:nsid w:val="42C296BD"/>
    <w:multiLevelType w:val="hybridMultilevel"/>
    <w:lvl w:ilvl="0">
      <w:lvlJc w:val="left"/>
      <w:lvlText w:val="%1."/>
      <w:numFmt w:val="decimal"/>
      <w:start w:val="1"/>
    </w:lvl>
  </w:abstractNum>
  <w:abstractNum w:abstractNumId="6">
    <w:nsid w:val="168E121F"/>
    <w:multiLevelType w:val="hybridMultilevel"/>
    <w:lvl w:ilvl="0">
      <w:lvlJc w:val="left"/>
      <w:lvlText w:val="(%1)"/>
      <w:numFmt w:val="decimal"/>
      <w:start w:val="1"/>
    </w:lvl>
  </w:abstractNum>
  <w:abstractNum w:abstractNumId="7">
    <w:nsid w:val="1EBA5D23"/>
    <w:multiLevelType w:val="hybridMultilevel"/>
    <w:lvl w:ilvl="0">
      <w:lvlJc w:val="left"/>
      <w:lvlText w:val="%1."/>
      <w:numFmt w:val="decimal"/>
      <w:start w:val="2"/>
    </w:lvl>
  </w:abstractNum>
  <w:abstractNum w:abstractNumId="8">
    <w:nsid w:val="661E3F1E"/>
    <w:multiLevelType w:val="hybridMultilevel"/>
    <w:lvl w:ilvl="0">
      <w:lvlJc w:val="left"/>
      <w:lvlText w:val="(%1)"/>
      <w:numFmt w:val="upperLetter"/>
      <w:start w:val="9"/>
    </w:lvl>
  </w:abstractNum>
  <w:abstractNum w:abstractNumId="9">
    <w:nsid w:val="5DC79EA8"/>
    <w:multiLevelType w:val="hybridMultilevel"/>
    <w:lvl w:ilvl="0">
      <w:lvlJc w:val="left"/>
      <w:lvlText w:val="(%1)"/>
      <w:numFmt w:val="decimal"/>
      <w:start w:val="2"/>
    </w:lvl>
  </w:abstractNum>
  <w:abstractNum w:abstractNumId="10">
    <w:nsid w:val="540A471C"/>
    <w:multiLevelType w:val="hybridMultilevel"/>
    <w:lvl w:ilvl="0">
      <w:lvlJc w:val="left"/>
      <w:lvlText w:val="(%1)"/>
      <w:numFmt w:val="upperLetter"/>
      <w:start w:val="9"/>
    </w:lvl>
  </w:abstractNum>
  <w:abstractNum w:abstractNumId="11">
    <w:nsid w:val="7BD3EE7B"/>
    <w:multiLevelType w:val="hybridMultilevel"/>
    <w:lvl w:ilvl="0">
      <w:lvlJc w:val="left"/>
      <w:lvlText w:val="(%1)"/>
      <w:numFmt w:val="decimal"/>
      <w:start w:val="2"/>
    </w:lvl>
  </w:abstractNum>
  <w:abstractNum w:abstractNumId="12">
    <w:nsid w:val="51D9C564"/>
    <w:multiLevelType w:val="hybridMultilevel"/>
    <w:lvl w:ilvl="0">
      <w:lvlJc w:val="left"/>
      <w:lvlText w:val="%1."/>
      <w:numFmt w:val="decimal"/>
      <w:start w:val="3"/>
    </w:lvl>
  </w:abstractNum>
  <w:abstractNum w:abstractNumId="13">
    <w:nsid w:val="613EFDC5"/>
    <w:multiLevelType w:val="hybridMultilevel"/>
    <w:lvl w:ilvl="0">
      <w:lvlJc w:val="left"/>
      <w:lvlText w:val="(%1)"/>
      <w:numFmt w:val="decimal"/>
      <w:start w:val="1"/>
    </w:lvl>
    <w:lvl w:ilvl="1">
      <w:lvlJc w:val="left"/>
      <w:lvlText w:val="(%2)"/>
      <w:numFmt w:val="lowerRoman"/>
      <w:start w:val="1"/>
    </w:lvl>
  </w:abstractNum>
  <w:abstractNum w:abstractNumId="14">
    <w:nsid w:val="BF72B14"/>
    <w:multiLevelType w:val="hybridMultilevel"/>
    <w:lvl w:ilvl="0">
      <w:lvlJc w:val="left"/>
      <w:lvlText w:val="%1."/>
      <w:numFmt w:val="decimal"/>
      <w:start w:val="4"/>
    </w:lvl>
  </w:abstractNum>
  <w:abstractNum w:abstractNumId="15">
    <w:nsid w:val="11447B73"/>
    <w:multiLevelType w:val="hybridMultilevel"/>
    <w:lvl w:ilvl="0">
      <w:lvlJc w:val="left"/>
      <w:lvlText w:val="%1."/>
      <w:numFmt w:val="decimal"/>
      <w:start w:val="5"/>
    </w:lvl>
  </w:abstractNum>
  <w:abstractNum w:abstractNumId="16">
    <w:nsid w:val="42963E5A"/>
    <w:multiLevelType w:val="hybridMultilevel"/>
    <w:lvl w:ilvl="0">
      <w:lvlJc w:val="left"/>
      <w:lvlText w:val="(%1)"/>
      <w:numFmt w:val="decimal"/>
      <w:start w:val="1"/>
    </w:lvl>
    <w:lvl w:ilvl="1">
      <w:lvlJc w:val="left"/>
      <w:lvlText w:val="-"/>
      <w:numFmt w:val="bullet"/>
      <w:start w:val="1"/>
    </w:lvl>
  </w:abstractNum>
  <w:abstractNum w:abstractNumId="17">
    <w:nsid w:val="A0382C5"/>
    <w:multiLevelType w:val="hybridMultilevel"/>
    <w:lvl w:ilvl="0">
      <w:lvlJc w:val="left"/>
      <w:lvlText w:val="(%1)"/>
      <w:numFmt w:val="decimal"/>
      <w:start w:val="3"/>
    </w:lvl>
  </w:abstractNum>
  <w:abstractNum w:abstractNumId="18">
    <w:nsid w:val="8F2B15E"/>
    <w:multiLevelType w:val="hybridMultilevel"/>
    <w:lvl w:ilvl="0">
      <w:lvlJc w:val="left"/>
      <w:lvlText w:val="(%1)"/>
      <w:numFmt w:val="upperLetter"/>
      <w:start w:val="9"/>
    </w:lvl>
  </w:abstractNum>
  <w:abstractNum w:abstractNumId="19">
    <w:nsid w:val="1A32234B"/>
    <w:multiLevelType w:val="hybridMultilevel"/>
    <w:lvl w:ilvl="0">
      <w:lvlJc w:val="left"/>
      <w:lvlText w:val="(%1)"/>
      <w:numFmt w:val="decimal"/>
      <w:start w:val="2"/>
    </w:lvl>
  </w:abstractNum>
  <w:abstractNum w:abstractNumId="20">
    <w:nsid w:val="3B0FD379"/>
    <w:multiLevelType w:val="hybridMultilevel"/>
    <w:lvl w:ilvl="0">
      <w:lvlJc w:val="left"/>
      <w:lvlText w:val="%1."/>
      <w:numFmt w:val="decimal"/>
      <w:start w:val="6"/>
    </w:lvl>
  </w:abstractNum>
  <w:abstractNum w:abstractNumId="21">
    <w:nsid w:val="68EB2F63"/>
    <w:multiLevelType w:val="hybridMultilevel"/>
    <w:lvl w:ilvl="0">
      <w:lvlJc w:val="left"/>
      <w:lvlText w:val="%1."/>
      <w:numFmt w:val="decimal"/>
      <w:start w:val="7"/>
    </w:lvl>
  </w:abstractNum>
  <w:abstractNum w:abstractNumId="22">
    <w:nsid w:val="4962813B"/>
    <w:multiLevelType w:val="hybridMultilevel"/>
    <w:lvl w:ilvl="0">
      <w:lvlJc w:val="left"/>
      <w:lvlText w:val="(%1)"/>
      <w:numFmt w:val="decimal"/>
      <w:start w:val="1"/>
    </w:lvl>
  </w:abstractNum>
  <w:abstractNum w:abstractNumId="23">
    <w:nsid w:val="60B6DF70"/>
    <w:multiLevelType w:val="hybridMultilevel"/>
    <w:lvl w:ilvl="0">
      <w:lvlJc w:val="left"/>
      <w:lvlText w:val="%1"/>
      <w:numFmt w:val="decimal"/>
      <w:start w:val="1"/>
    </w:lvl>
    <w:lvl w:ilvl="1">
      <w:lvlJc w:val="left"/>
      <w:lvlText w:val="(%2)"/>
      <w:numFmt w:val="decimal"/>
      <w:start w:val="1"/>
    </w:lvl>
  </w:abstractNum>
  <w:abstractNum w:abstractNumId="24">
    <w:nsid w:val="6A5EE64"/>
    <w:multiLevelType w:val="hybridMultilevel"/>
    <w:lvl w:ilvl="0">
      <w:lvlJc w:val="left"/>
      <w:lvlText w:val="%1."/>
      <w:numFmt w:val="decimal"/>
      <w:start w:val="8"/>
    </w:lvl>
    <w:lvl w:ilvl="1">
      <w:lvlJc w:val="left"/>
      <w:lvlText w:val="%2"/>
      <w:numFmt w:val="decimal"/>
      <w:start w:val="1"/>
    </w:lvl>
  </w:abstractNum>
  <w:abstractNum w:abstractNumId="25">
    <w:nsid w:val="14330624"/>
    <w:multiLevelType w:val="hybridMultilevel"/>
    <w:lvl w:ilvl="0">
      <w:lvlJc w:val="left"/>
      <w:lvlText w:val="(%1)"/>
      <w:numFmt w:val="upperLetter"/>
      <w:start w:val="9"/>
    </w:lvl>
    <w:lvl w:ilvl="1">
      <w:lvlJc w:val="left"/>
      <w:lvlText w:val="-"/>
      <w:numFmt w:val="bullet"/>
      <w:start w:val="1"/>
    </w:lvl>
  </w:abstractNum>
  <w:abstractNum w:abstractNumId="26">
    <w:nsid w:val="7FFFCA11"/>
    <w:multiLevelType w:val="hybridMultilevel"/>
    <w:lvl w:ilvl="0">
      <w:lvlJc w:val="left"/>
      <w:lvlText w:val="%1"/>
      <w:numFmt w:val="decimal"/>
      <w:start w:val="1"/>
    </w:lvl>
    <w:lvl w:ilvl="1">
      <w:lvlJc w:val="left"/>
      <w:lvlText w:val="(%2)"/>
      <w:numFmt w:val="decimal"/>
      <w:start w:val="2"/>
    </w:lvl>
  </w:abstractNum>
  <w:abstractNum w:abstractNumId="27">
    <w:nsid w:val="1A27709E"/>
    <w:multiLevelType w:val="hybridMultilevel"/>
    <w:lvl w:ilvl="0">
      <w:lvlJc w:val="left"/>
      <w:lvlText w:val="%1."/>
      <w:numFmt w:val="decimal"/>
      <w:start w:val="9"/>
    </w:lvl>
    <w:lvl w:ilvl="1">
      <w:lvlJc w:val="left"/>
      <w:lvlText w:val="%2"/>
      <w:numFmt w:val="decimal"/>
      <w:start w:val="1"/>
    </w:lvl>
  </w:abstractNum>
  <w:abstractNum w:abstractNumId="28">
    <w:nsid w:val="71EA1109"/>
    <w:multiLevelType w:val="hybridMultilevel"/>
    <w:lvl w:ilvl="0">
      <w:lvlJc w:val="left"/>
      <w:lvlText w:val="(%1)"/>
      <w:numFmt w:val="upperLetter"/>
      <w:start w:val="9"/>
    </w:lvl>
    <w:lvl w:ilvl="1">
      <w:lvlJc w:val="left"/>
      <w:lvlText w:val="(%2)"/>
      <w:numFmt w:val="lowerRoman"/>
      <w:start w:val="1"/>
    </w:lvl>
  </w:abstractNum>
  <w:abstractNum w:abstractNumId="29">
    <w:nsid w:val="100F59D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0">
    <w:nsid w:val="7FB7E0AA"/>
    <w:multiLevelType w:val="hybridMultilevel"/>
    <w:lvl w:ilvl="0">
      <w:lvlJc w:val="left"/>
      <w:lvlText w:val="(%1)"/>
      <w:numFmt w:val="decimal"/>
      <w:start w:val="3"/>
    </w:lvl>
    <w:lvl w:ilvl="1">
      <w:lvlJc w:val="left"/>
      <w:lvlText w:val="(%2)"/>
      <w:numFmt w:val="lowerRoman"/>
      <w:start w:val="1"/>
    </w:lvl>
  </w:abstractNum>
  <w:abstractNum w:abstractNumId="31">
    <w:nsid w:val="6EB5BD4"/>
    <w:multiLevelType w:val="hybridMultilevel"/>
    <w:lvl w:ilvl="0">
      <w:lvlJc w:val="left"/>
      <w:lvlText w:val="(%1)"/>
      <w:numFmt w:val="upperLetter"/>
      <w:start w:val="9"/>
    </w:lvl>
  </w:abstractNum>
  <w:abstractNum w:abstractNumId="32">
    <w:nsid w:val="6F6DD9AC"/>
    <w:multiLevelType w:val="hybridMultilevel"/>
    <w:lvl w:ilvl="0">
      <w:lvlJc w:val="left"/>
      <w:lvlText w:val="(%1)"/>
      <w:numFmt w:val="decimal"/>
      <w:start w:val="2"/>
    </w:lvl>
  </w:abstractNum>
  <w:abstractNum w:abstractNumId="33">
    <w:nsid w:val="94211F2"/>
    <w:multiLevelType w:val="hybridMultilevel"/>
    <w:lvl w:ilvl="0">
      <w:lvlJc w:val="left"/>
      <w:lvlText w:val="%1."/>
      <w:numFmt w:val="decimal"/>
      <w:start w:val="10"/>
    </w:lvl>
  </w:abstractNum>
  <w:abstractNum w:abstractNumId="34">
    <w:nsid w:val="885E1B"/>
    <w:multiLevelType w:val="hybridMultilevel"/>
    <w:lvl w:ilvl="0">
      <w:lvlJc w:val="left"/>
      <w:lvlText w:val="(%1)"/>
      <w:numFmt w:val="decimal"/>
      <w:start w:val="1"/>
    </w:lvl>
  </w:abstractNum>
  <w:abstractNum w:abstractNumId="35">
    <w:nsid w:val="76272110"/>
    <w:multiLevelType w:val="hybridMultilevel"/>
    <w:lvl w:ilvl="0">
      <w:lvlJc w:val="left"/>
      <w:lvlText w:val="(%1)"/>
      <w:numFmt w:val="decimal"/>
      <w:start w:val="1"/>
    </w:lvl>
  </w:abstractNum>
  <w:abstractNum w:abstractNumId="36">
    <w:nsid w:val="4C04A8AF"/>
    <w:multiLevelType w:val="hybridMultilevel"/>
    <w:lvl w:ilvl="0">
      <w:lvlJc w:val="left"/>
      <w:lvlText w:val="(%1)"/>
      <w:numFmt w:val="upperLetter"/>
      <w:start w:val="9"/>
    </w:lvl>
  </w:abstractNum>
  <w:abstractNum w:abstractNumId="37">
    <w:nsid w:val="1716703B"/>
    <w:multiLevelType w:val="hybridMultilevel"/>
    <w:lvl w:ilvl="0">
      <w:lvlJc w:val="left"/>
      <w:lvlText w:val="(%1)"/>
      <w:numFmt w:val="decimal"/>
      <w:start w:val="2"/>
    </w:lvl>
  </w:abstractNum>
  <w:abstractNum w:abstractNumId="38">
    <w:nsid w:val="14E17E33"/>
    <w:multiLevelType w:val="hybridMultilevel"/>
    <w:lvl w:ilvl="0">
      <w:lvlJc w:val="left"/>
      <w:lvlText w:val="(%1)"/>
      <w:numFmt w:val="decimal"/>
      <w:start w:val="1"/>
    </w:lvl>
    <w:lvl w:ilvl="1">
      <w:lvlJc w:val="left"/>
      <w:lvlText w:val="-"/>
      <w:numFmt w:val="bullet"/>
      <w:start w:val="1"/>
    </w:lvl>
  </w:abstractNum>
  <w:abstractNum w:abstractNumId="39">
    <w:nsid w:val="3222E7CD"/>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40">
    <w:nsid w:val="74DE0EE3"/>
    <w:multiLevelType w:val="hybridMultilevel"/>
    <w:lvl w:ilvl="0">
      <w:lvlJc w:val="left"/>
      <w:lvlText w:val="%1."/>
      <w:numFmt w:val="decimal"/>
      <w:start w:val="11"/>
    </w:lvl>
    <w:lvl w:ilvl="1">
      <w:lvlJc w:val="left"/>
      <w:lvlText w:val="%2"/>
      <w:numFmt w:val="decimal"/>
      <w:start w:val="1"/>
    </w:lvl>
    <w:lvl w:ilvl="2">
      <w:lvlJc w:val="left"/>
      <w:lvlText w:val="%3"/>
      <w:numFmt w:val="lowerRoman"/>
      <w:start w:val="1"/>
    </w:lvl>
  </w:abstractNum>
  <w:abstractNum w:abstractNumId="41">
    <w:nsid w:val="68EBC550"/>
    <w:multiLevelType w:val="hybridMultilevel"/>
    <w:lvl w:ilvl="0">
      <w:lvlJc w:val="left"/>
      <w:lvlText w:val="(%1)"/>
      <w:numFmt w:val="upperLetter"/>
      <w:start w:val="9"/>
    </w:lvl>
  </w:abstractNum>
  <w:abstractNum w:abstractNumId="42">
    <w:nsid w:val="2DF6D648"/>
    <w:multiLevelType w:val="hybridMultilevel"/>
    <w:lvl w:ilvl="0">
      <w:lvlJc w:val="left"/>
      <w:lvlText w:val="(%1)"/>
      <w:numFmt w:val="decimal"/>
      <w:start w:val="2"/>
    </w:lvl>
    <w:lvl w:ilvl="1">
      <w:lvlJc w:val="left"/>
      <w:lvlText w:val="(%2)"/>
      <w:numFmt w:val="lowerRoman"/>
      <w:start w:val="1"/>
    </w:lvl>
  </w:abstractNum>
  <w:abstractNum w:abstractNumId="43">
    <w:nsid w:val="46B7D447"/>
    <w:multiLevelType w:val="hybridMultilevel"/>
    <w:lvl w:ilvl="0">
      <w:lvlJc w:val="left"/>
      <w:lvlText w:val="(%1)"/>
      <w:numFmt w:val="upperLetter"/>
      <w:start w:val="9"/>
    </w:lvl>
  </w:abstractNum>
  <w:abstractNum w:abstractNumId="44">
    <w:nsid w:val="4A2AC315"/>
    <w:multiLevelType w:val="hybridMultilevel"/>
    <w:lvl w:ilvl="0">
      <w:lvlJc w:val="left"/>
      <w:lvlText w:val="(%1)"/>
      <w:numFmt w:val="decimal"/>
      <w:start w:val="2"/>
    </w:lvl>
  </w:abstractNum>
  <w:abstractNum w:abstractNumId="45">
    <w:nsid w:val="39EE015C"/>
    <w:multiLevelType w:val="hybridMultilevel"/>
    <w:lvl w:ilvl="0">
      <w:lvlJc w:val="left"/>
      <w:lvlText w:val="I"/>
      <w:numFmt w:val="bullet"/>
      <w:start w:val="1"/>
    </w:lvl>
  </w:abstractNum>
  <w:abstractNum w:abstractNumId="46">
    <w:nsid w:val="57FC4FBB"/>
    <w:multiLevelType w:val="hybridMultilevel"/>
    <w:lvl w:ilvl="0">
      <w:lvlJc w:val="left"/>
      <w:lvlText w:val="1"/>
      <w:numFmt w:val="bullet"/>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50">
    <w:nsid w:val="26F324BA"/>
    <w:multiLevelType w:val="hybridMultilevel"/>
    <w:lvl w:ilvl="0">
      <w:lvlJc w:val="left"/>
      <w:lvlText w:val="%1."/>
      <w:numFmt w:val="decimal"/>
      <w:start w:val="12"/>
    </w:lvl>
  </w:abstractNum>
  <w:abstractNum w:abstractNumId="51">
    <w:nsid w:val="7F01579B"/>
    <w:multiLevelType w:val="hybridMultilevel"/>
    <w:lvl w:ilvl="0">
      <w:lvlJc w:val="left"/>
      <w:lvlText w:val="(%1)"/>
      <w:numFmt w:val="decimal"/>
      <w:start w:val="1"/>
    </w:lvl>
  </w:abstractNum>
  <w:abstractNum w:abstractNumId="52">
    <w:nsid w:val="49DA307D"/>
    <w:multiLevelType w:val="hybridMultilevel"/>
    <w:lvl w:ilvl="0">
      <w:lvlJc w:val="left"/>
      <w:lvlText w:val="(%1)"/>
      <w:numFmt w:val="upperLetter"/>
      <w:start w:val="9"/>
    </w:lvl>
  </w:abstractNum>
  <w:abstractNum w:abstractNumId="53">
    <w:nsid w:val="7055A5F5"/>
    <w:multiLevelType w:val="hybridMultilevel"/>
    <w:lvl w:ilvl="0">
      <w:lvlJc w:val="left"/>
      <w:lvlText w:val="(%1)"/>
      <w:numFmt w:val="decimal"/>
      <w:start w:val="2"/>
    </w:lvl>
  </w:abstractNum>
  <w:abstractNum w:abstractNumId="54">
    <w:nsid w:val="5FB8370B"/>
    <w:multiLevelType w:val="hybridMultilevel"/>
    <w:lvl w:ilvl="0">
      <w:lvlJc w:val="left"/>
      <w:lvlText w:val="(%1)"/>
      <w:numFmt w:val="decimal"/>
      <w:start w:val="1"/>
    </w:lvl>
    <w:lvl w:ilvl="1">
      <w:lvlJc w:val="left"/>
      <w:lvlText w:val="(%2)"/>
      <w:numFmt w:val="lowerRoman"/>
      <w:start w:val="1"/>
    </w:lvl>
  </w:abstractNum>
  <w:abstractNum w:abstractNumId="55">
    <w:nsid w:val="50801EE1"/>
    <w:multiLevelType w:val="hybridMultilevel"/>
    <w:lvl w:ilvl="0">
      <w:lvlJc w:val="left"/>
      <w:lvlText w:val="(%1)"/>
      <w:numFmt w:val="decimal"/>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1"/>
    </w:lvl>
  </w:abstractNum>
  <w:abstractNum w:abstractNumId="59">
    <w:nsid w:val="7672BD23"/>
    <w:multiLevelType w:val="hybridMultilevel"/>
    <w:lvl w:ilvl="0">
      <w:lvlJc w:val="left"/>
      <w:lvlText w:val="(%1)"/>
      <w:numFmt w:val="decimal"/>
      <w:start w:val="1"/>
    </w:lvl>
  </w:abstractNum>
  <w:abstractNum w:abstractNumId="60">
    <w:nsid w:val="6FC75AF8"/>
    <w:multiLevelType w:val="hybridMultilevel"/>
    <w:lvl w:ilvl="0">
      <w:lvlJc w:val="left"/>
      <w:lvlText w:val="%1."/>
      <w:numFmt w:val="decimal"/>
      <w:start w:val="13"/>
    </w:lvl>
  </w:abstractNum>
  <w:abstractNum w:abstractNumId="61">
    <w:nsid w:val="6A5F7029"/>
    <w:multiLevelType w:val="hybridMultilevel"/>
    <w:lvl w:ilvl="0">
      <w:lvlJc w:val="left"/>
      <w:lvlText w:val="(%1)"/>
      <w:numFmt w:val="decimal"/>
      <w:start w:val="1"/>
    </w:lvl>
    <w:lvl w:ilvl="1">
      <w:lvlJc w:val="left"/>
      <w:lvlText w:val="(%2)"/>
      <w:numFmt w:val="lowerRoman"/>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decimal"/>
      <w:start w:val="14"/>
    </w:lvl>
  </w:abstractNum>
  <w:abstractNum w:abstractNumId="64">
    <w:nsid w:val="73A1821B"/>
    <w:multiLevelType w:val="hybridMultilevel"/>
    <w:lvl w:ilvl="0">
      <w:lvlJc w:val="left"/>
      <w:lvlText w:val="(%1)"/>
      <w:numFmt w:val="decimal"/>
      <w:start w:val="1"/>
    </w:lvl>
  </w:abstractNum>
  <w:abstractNum w:abstractNumId="65">
    <w:nsid w:val="7DE67713"/>
    <w:multiLevelType w:val="hybridMultilevel"/>
    <w:lvl w:ilvl="0">
      <w:lvlJc w:val="left"/>
      <w:lvlText w:val="(%1)"/>
      <w:numFmt w:val="decimal"/>
      <w:start w:val="1"/>
    </w:lvl>
    <w:lvl w:ilvl="1">
      <w:lvlJc w:val="left"/>
      <w:lvlText w:val="-"/>
      <w:numFmt w:val="bullet"/>
      <w:start w:val="1"/>
    </w:lvl>
  </w:abstractNum>
  <w:abstractNum w:abstractNumId="66">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3FA62A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8">
    <w:nsid w:val="14FCE74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9">
    <w:nsid w:val="6A3DD3E8"/>
    <w:multiLevelType w:val="hybridMultilevel"/>
    <w:lvl w:ilvl="0">
      <w:lvlJc w:val="left"/>
      <w:lvlText w:val="%1"/>
      <w:numFmt w:val="lowerLetter"/>
      <w:start w:val="1"/>
    </w:lvl>
    <w:lvl w:ilvl="1">
      <w:lvlJc w:val="left"/>
      <w:lvlText w:val="(%2)"/>
      <w:numFmt w:val="lowerRoman"/>
      <w:start w:val="1"/>
    </w:lvl>
  </w:abstractNum>
  <w:abstractNum w:abstractNumId="70">
    <w:nsid w:val="71C91298"/>
    <w:multiLevelType w:val="hybridMultilevel"/>
    <w:lvl w:ilvl="0">
      <w:lvlJc w:val="left"/>
      <w:lvlText w:val="(%1)"/>
      <w:numFmt w:val="lowerLetter"/>
      <w:start w:val="3"/>
    </w:lvl>
    <w:lvl w:ilvl="1">
      <w:lvlJc w:val="left"/>
      <w:lvlText w:val="%2"/>
      <w:numFmt w:val="lowerRoman"/>
      <w:start w:val="1"/>
    </w:lvl>
  </w:abstractNum>
  <w:abstractNum w:abstractNumId="71">
    <w:nsid w:val="9DAF632"/>
    <w:multiLevelType w:val="hybridMultilevel"/>
    <w:lvl w:ilvl="0">
      <w:lvlJc w:val="left"/>
      <w:lvlText w:val="(%1)"/>
      <w:numFmt w:val="decimal"/>
      <w:start w:val="5"/>
    </w:lvl>
    <w:lvl w:ilvl="1">
      <w:lvlJc w:val="left"/>
      <w:lvlText w:val="-"/>
      <w:numFmt w:val="bullet"/>
      <w:start w:val="1"/>
    </w:lvl>
  </w:abstractNum>
  <w:abstractNum w:abstractNumId="72">
    <w:nsid w:val="53299938"/>
    <w:multiLevelType w:val="hybridMultilevel"/>
    <w:lvl w:ilvl="0">
      <w:lvlJc w:val="left"/>
      <w:lvlText w:val="(%1)"/>
      <w:numFmt w:val="decimal"/>
      <w:start w:val="8"/>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decimal"/>
      <w:start w:val="3"/>
    </w:lvl>
  </w:abstractNum>
  <w:abstractNum w:abstractNumId="76">
    <w:nsid w:val="59ADEA3D"/>
    <w:multiLevelType w:val="hybridMultilevel"/>
    <w:lvl w:ilvl="0">
      <w:lvlJc w:val="left"/>
      <w:lvlText w:val="(%1)"/>
      <w:numFmt w:val="upperLetter"/>
      <w:start w:val="9"/>
    </w:lvl>
  </w:abstractNum>
  <w:abstractNum w:abstractNumId="77">
    <w:nsid w:val="288F1A34"/>
    <w:multiLevelType w:val="hybridMultilevel"/>
    <w:lvl w:ilvl="0">
      <w:lvlJc w:val="left"/>
      <w:lvlText w:val="(%1)"/>
      <w:numFmt w:val="decimal"/>
      <w:start w:val="2"/>
    </w:lvl>
  </w:abstractNum>
  <w:abstractNum w:abstractNumId="78">
    <w:nsid w:val="2A155DBC"/>
    <w:multiLevelType w:val="hybridMultilevel"/>
    <w:lvl w:ilvl="0">
      <w:lvlJc w:val="left"/>
      <w:lvlText w:val="(%1)"/>
      <w:numFmt w:val="upperLetter"/>
      <w:start w:val="9"/>
    </w:lvl>
  </w:abstractNum>
  <w:abstractNum w:abstractNumId="79">
    <w:nsid w:val="1D9F6E5F"/>
    <w:multiLevelType w:val="hybridMultilevel"/>
    <w:lvl w:ilvl="0">
      <w:lvlJc w:val="left"/>
      <w:lvlText w:val="(%1)"/>
      <w:numFmt w:val="decimal"/>
      <w:start w:val="2"/>
    </w:lvl>
  </w:abstractNum>
  <w:abstractNum w:abstractNumId="80">
    <w:nsid w:val="97E1B4E"/>
    <w:multiLevelType w:val="hybridMultilevel"/>
    <w:lvl w:ilvl="0">
      <w:lvlJc w:val="left"/>
      <w:lvlText w:val="%1."/>
      <w:numFmt w:val="decimal"/>
      <w:start w:val="15"/>
    </w:lvl>
  </w:abstractNum>
  <w:abstractNum w:abstractNumId="81">
    <w:nsid w:val="51088277"/>
    <w:multiLevelType w:val="hybridMultilevel"/>
    <w:lvl w:ilvl="0">
      <w:lvlJc w:val="left"/>
      <w:lvlText w:val="(%1)"/>
      <w:numFmt w:val="upperLetter"/>
      <w:start w:val="9"/>
    </w:lvl>
  </w:abstractNum>
  <w:abstractNum w:abstractNumId="82">
    <w:nsid w:val="1CA0C5FA"/>
    <w:multiLevelType w:val="hybridMultilevel"/>
    <w:lvl w:ilvl="0">
      <w:lvlJc w:val="left"/>
      <w:lvlText w:val="(%1)"/>
      <w:numFmt w:val="decimal"/>
      <w:start w:val="2"/>
    </w:lvl>
  </w:abstractNum>
  <w:abstractNum w:abstractNumId="83">
    <w:nsid w:val="53584BCB"/>
    <w:multiLevelType w:val="hybridMultilevel"/>
    <w:lvl w:ilvl="0">
      <w:lvlJc w:val="left"/>
      <w:lvlText w:val="(%1)"/>
      <w:numFmt w:val="decimal"/>
      <w:start w:val="1"/>
    </w:lvl>
  </w:abstractNum>
  <w:abstractNum w:abstractNumId="84">
    <w:nsid w:val="415E286C"/>
    <w:multiLevelType w:val="hybridMultilevel"/>
    <w:lvl w:ilvl="0">
      <w:lvlJc w:val="left"/>
      <w:lvlText w:val="%1."/>
      <w:numFmt w:val="decimal"/>
      <w:start w:val="16"/>
    </w:lvl>
  </w:abstractNum>
  <w:abstractNum w:abstractNumId="85">
    <w:nsid w:val="7C58FD05"/>
    <w:multiLevelType w:val="hybridMultilevel"/>
    <w:lvl w:ilvl="0">
      <w:lvlJc w:val="left"/>
      <w:lvlText w:val="%1."/>
      <w:numFmt w:val="decimal"/>
      <w:start w:val="17"/>
    </w:lvl>
  </w:abstractNum>
  <w:abstractNum w:abstractNumId="86">
    <w:nsid w:val="23D86AAC"/>
    <w:multiLevelType w:val="hybridMultilevel"/>
    <w:lvl w:ilvl="0">
      <w:lvlJc w:val="left"/>
      <w:lvlText w:val="%1."/>
      <w:numFmt w:val="decimal"/>
      <w:start w:val="18"/>
    </w:lvl>
  </w:abstractNum>
  <w:abstractNum w:abstractNumId="87">
    <w:nsid w:val="45E6D486"/>
    <w:multiLevelType w:val="hybridMultilevel"/>
    <w:lvl w:ilvl="0">
      <w:lvlJc w:val="left"/>
      <w:lvlText w:val="(%1)"/>
      <w:numFmt w:val="upperLetter"/>
      <w:start w:val="9"/>
    </w:lvl>
  </w:abstractNum>
  <w:abstractNum w:abstractNumId="88">
    <w:nsid w:val="5C10FE21"/>
    <w:multiLevelType w:val="hybridMultilevel"/>
    <w:lvl w:ilvl="0">
      <w:lvlJc w:val="left"/>
      <w:lvlText w:val="(%1)"/>
      <w:numFmt w:val="decimal"/>
      <w:start w:val="2"/>
    </w:lvl>
    <w:lvl w:ilvl="1">
      <w:lvlJc w:val="left"/>
      <w:lvlText w:val="(%2)"/>
      <w:numFmt w:val="lowerRoman"/>
      <w:start w:val="1"/>
    </w:lvl>
  </w:abstractNum>
  <w:abstractNum w:abstractNumId="89">
    <w:nsid w:val="E7FFA2B"/>
    <w:multiLevelType w:val="hybridMultilevel"/>
    <w:lvl w:ilvl="0">
      <w:lvlJc w:val="left"/>
      <w:lvlText w:val="(%1)"/>
      <w:numFmt w:val="upperLetter"/>
      <w:start w:val="9"/>
    </w:lvl>
  </w:abstractNum>
  <w:abstractNum w:abstractNumId="90">
    <w:nsid w:val="3C5991AA"/>
    <w:multiLevelType w:val="hybridMultilevel"/>
    <w:lvl w:ilvl="0">
      <w:lvlJc w:val="left"/>
      <w:lvlText w:val="(%1)"/>
      <w:numFmt w:val="decimal"/>
      <w:start w:val="2"/>
    </w:lvl>
  </w:abstractNum>
  <w:abstractNum w:abstractNumId="91">
    <w:nsid w:val="4BD8591A"/>
    <w:multiLevelType w:val="hybridMultilevel"/>
    <w:lvl w:ilvl="0">
      <w:lvlJc w:val="left"/>
      <w:lvlText w:val="(%1)"/>
      <w:numFmt w:val="decimal"/>
      <w:start w:val="1"/>
    </w:lvl>
  </w:abstractNum>
  <w:abstractNum w:abstractNumId="92">
    <w:nsid w:val="78DF6A55"/>
    <w:multiLevelType w:val="hybridMultilevel"/>
    <w:lvl w:ilvl="0">
      <w:lvlJc w:val="left"/>
      <w:lvlText w:val="(%1)"/>
      <w:numFmt w:val="decimal"/>
      <w:start w:val="1"/>
    </w:lvl>
  </w:abstractNum>
  <w:abstractNum w:abstractNumId="93">
    <w:nsid w:val="39B7AAA2"/>
    <w:multiLevelType w:val="hybridMultilevel"/>
    <w:lvl w:ilvl="0">
      <w:lvlJc w:val="left"/>
      <w:lvlText w:val="%1."/>
      <w:numFmt w:val="decimal"/>
      <w:start w:val="19"/>
    </w:lvl>
  </w:abstractNum>
  <w:abstractNum w:abstractNumId="94">
    <w:nsid w:val="2B0D8DBE"/>
    <w:multiLevelType w:val="hybridMultilevel"/>
    <w:lvl w:ilvl="0">
      <w:lvlJc w:val="left"/>
      <w:lvlText w:val="(%1)"/>
      <w:numFmt w:val="decimal"/>
      <w:start w:val="1"/>
    </w:lvl>
  </w:abstractNum>
  <w:abstractNum w:abstractNumId="95">
    <w:nsid w:val="6C80EC70"/>
    <w:multiLevelType w:val="hybridMultilevel"/>
    <w:lvl w:ilvl="0">
      <w:lvlJc w:val="left"/>
      <w:lvlText w:val="(%1)"/>
      <w:numFmt w:val="upperLetter"/>
      <w:start w:val="9"/>
    </w:lvl>
  </w:abstractNum>
  <w:abstractNum w:abstractNumId="96">
    <w:nsid w:val="379E21B5"/>
    <w:multiLevelType w:val="hybridMultilevel"/>
    <w:lvl w:ilvl="0">
      <w:lvlJc w:val="left"/>
      <w:lvlText w:val="(%1)"/>
      <w:numFmt w:val="decimal"/>
      <w:start w:val="2"/>
    </w:lvl>
    <w:lvl w:ilvl="1">
      <w:lvlJc w:val="left"/>
      <w:lvlText w:val="(%2)"/>
      <w:numFmt w:val="lowerRoman"/>
      <w:start w:val="1"/>
    </w:lvl>
  </w:abstractNum>
  <w:abstractNum w:abstractNumId="97">
    <w:nsid w:val="69E373"/>
    <w:multiLevelType w:val="hybridMultilevel"/>
    <w:lvl w:ilvl="0">
      <w:lvlJc w:val="left"/>
      <w:lvlText w:val="(%1)"/>
      <w:numFmt w:val="decimal"/>
      <w:start w:val="1"/>
    </w:lvl>
  </w:abstractNum>
  <w:abstractNum w:abstractNumId="98">
    <w:nsid w:val="2C27173B"/>
    <w:multiLevelType w:val="hybridMultilevel"/>
    <w:lvl w:ilvl="0">
      <w:lvlJc w:val="left"/>
      <w:lvlText w:val="(%1)"/>
      <w:numFmt w:val="decimal"/>
      <w:start w:val="1"/>
    </w:lvl>
    <w:lvl w:ilvl="1">
      <w:lvlJc w:val="left"/>
      <w:lvlText w:val="-"/>
      <w:numFmt w:val="bullet"/>
      <w:start w:val="1"/>
    </w:lvl>
  </w:abstractNum>
  <w:abstractNum w:abstractNumId="99">
    <w:nsid w:val="4C9B0904"/>
    <w:multiLevelType w:val="hybridMultilevel"/>
    <w:lvl w:ilvl="0">
      <w:lvlJc w:val="left"/>
      <w:lvlText w:val="(%1)"/>
      <w:numFmt w:val="decimal"/>
      <w:start w:val="3"/>
    </w:lvl>
  </w:abstractNum>
  <w:abstractNum w:abstractNumId="100">
    <w:nsid w:val="6AA7B75C"/>
    <w:multiLevelType w:val="hybridMultilevel"/>
    <w:lvl w:ilvl="0">
      <w:lvlJc w:val="left"/>
      <w:lvlText w:val="%1"/>
      <w:numFmt w:val="decimal"/>
      <w:start w:val="1"/>
    </w:lvl>
    <w:lvl w:ilvl="1">
      <w:lvlJc w:val="left"/>
      <w:lvlText w:val="(%2)"/>
      <w:numFmt w:val="decimal"/>
      <w:start w:val="1"/>
    </w:lvl>
  </w:abstractNum>
  <w:abstractNum w:abstractNumId="101">
    <w:nsid w:val="1DF029D3"/>
    <w:multiLevelType w:val="hybridMultilevel"/>
    <w:lvl w:ilvl="0">
      <w:lvlJc w:val="left"/>
      <w:lvlText w:val="%1."/>
      <w:numFmt w:val="decimal"/>
      <w:start w:val="20"/>
    </w:lvl>
    <w:lvl w:ilvl="1">
      <w:lvlJc w:val="left"/>
      <w:lvlText w:val="%2"/>
      <w:numFmt w:val="decimal"/>
      <w:start w:val="1"/>
    </w:lvl>
  </w:abstractNum>
  <w:abstractNum w:abstractNumId="102">
    <w:nsid w:val="5675FF36"/>
    <w:multiLevelType w:val="hybridMultilevel"/>
    <w:lvl w:ilvl="0">
      <w:lvlJc w:val="left"/>
      <w:lvlText w:val="(%1)"/>
      <w:numFmt w:val="lowerLetter"/>
      <w:start w:val="12"/>
    </w:lvl>
  </w:abstractNum>
  <w:abstractNum w:abstractNumId="103">
    <w:nsid w:val="3DD15094"/>
    <w:multiLevelType w:val="hybridMultilevel"/>
    <w:lvl w:ilvl="0">
      <w:lvlJc w:val="left"/>
      <w:lvlText w:val="(%1)"/>
      <w:numFmt w:val="decimal"/>
      <w:start w:val="2"/>
    </w:lvl>
  </w:abstractNum>
  <w:abstractNum w:abstractNumId="104">
    <w:nsid w:val="3DB012B3"/>
    <w:multiLevelType w:val="hybridMultilevel"/>
    <w:lvl w:ilvl="0">
      <w:lvlJc w:val="left"/>
      <w:lvlText w:val="%1."/>
      <w:numFmt w:val="decimal"/>
      <w:start w:val="21"/>
    </w:lvl>
  </w:abstractNum>
  <w:abstractNum w:abstractNumId="105">
    <w:nsid w:val="2708C9AF"/>
    <w:multiLevelType w:val="hybridMultilevel"/>
    <w:lvl w:ilvl="0">
      <w:lvlJc w:val="left"/>
      <w:lvlText w:val="(%1)"/>
      <w:numFmt w:val="decimal"/>
      <w:start w:val="1"/>
    </w:lvl>
    <w:lvl w:ilvl="1">
      <w:lvlJc w:val="left"/>
      <w:lvlText w:val="(%2)"/>
      <w:numFmt w:val="lowerRoman"/>
      <w:start w:val="1"/>
    </w:lvl>
  </w:abstractNum>
  <w:abstractNum w:abstractNumId="106">
    <w:nsid w:val="5B25ACE2"/>
    <w:multiLevelType w:val="hybridMultilevel"/>
    <w:lvl w:ilvl="0">
      <w:lvlJc w:val="left"/>
      <w:lvlText w:val="(%1)"/>
      <w:numFmt w:val="decimal"/>
      <w:start w:val="1"/>
    </w:lvl>
    <w:lvl w:ilvl="1">
      <w:lvlJc w:val="left"/>
      <w:lvlText w:val="-"/>
      <w:numFmt w:val="bullet"/>
      <w:start w:val="1"/>
    </w:lvl>
  </w:abstractNum>
  <w:abstractNum w:abstractNumId="107">
    <w:nsid w:val="175DFCF0"/>
    <w:multiLevelType w:val="hybridMultilevel"/>
    <w:lvl w:ilvl="0">
      <w:lvlJc w:val="left"/>
      <w:lvlText w:val="%1."/>
      <w:numFmt w:val="decimal"/>
      <w:start w:val="22"/>
    </w:lvl>
  </w:abstractNum>
  <w:abstractNum w:abstractNumId="108">
    <w:nsid w:val="4F97E3E4"/>
    <w:multiLevelType w:val="hybridMultilevel"/>
    <w:lvl w:ilvl="0">
      <w:lvlJc w:val="left"/>
      <w:lvlText w:val="(%1)"/>
      <w:numFmt w:val="upperLetter"/>
      <w:start w:val="9"/>
    </w:lvl>
  </w:abstractNum>
  <w:abstractNum w:abstractNumId="109">
    <w:nsid w:val="53B0A9E"/>
    <w:multiLevelType w:val="hybridMultilevel"/>
    <w:lvl w:ilvl="0">
      <w:lvlJc w:val="left"/>
      <w:lvlText w:val="(%1)"/>
      <w:numFmt w:val="decimal"/>
      <w:start w:val="2"/>
    </w:lvl>
  </w:abstractNum>
  <w:abstractNum w:abstractNumId="110">
    <w:nsid w:val="34FD6B4F"/>
    <w:multiLevelType w:val="hybridMultilevel"/>
    <w:lvl w:ilvl="0">
      <w:lvlJc w:val="left"/>
      <w:lvlText w:val="%1."/>
      <w:numFmt w:val="decimal"/>
      <w:start w:val="23"/>
    </w:lvl>
  </w:abstractNum>
  <w:abstractNum w:abstractNumId="111">
    <w:nsid w:val="5915FF32"/>
    <w:multiLevelType w:val="hybridMultilevel"/>
    <w:lvl w:ilvl="0">
      <w:lvlJc w:val="left"/>
      <w:lvlText w:val="%1."/>
      <w:numFmt w:val="decimal"/>
      <w:start w:val="24"/>
    </w:lvl>
  </w:abstractNum>
  <w:abstractNum w:abstractNumId="112">
    <w:nsid w:val="56438D15"/>
    <w:multiLevelType w:val="hybridMultilevel"/>
    <w:lvl w:ilvl="0">
      <w:lvlJc w:val="left"/>
      <w:lvlText w:val="(%1)"/>
      <w:numFmt w:val="decimal"/>
      <w:start w:val="1"/>
    </w:lvl>
    <w:lvl w:ilvl="1">
      <w:lvlJc w:val="left"/>
      <w:lvlText w:val="(%2)"/>
      <w:numFmt w:val="lowerRoman"/>
      <w:start w:val="1"/>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1)"/>
      <w:numFmt w:val="decimal"/>
      <w:start w:val="2"/>
    </w:lvl>
  </w:abstractNum>
  <w:abstractNum w:abstractNumId="115">
    <w:nsid w:val="17A1B582"/>
    <w:multiLevelType w:val="hybridMultilevel"/>
    <w:lvl w:ilvl="0">
      <w:lvlJc w:val="left"/>
      <w:lvlText w:val="%1(])"/>
      <w:numFmt w:val="bullet"/>
      <w:start w:val="1"/>
    </w:lvl>
    <w:lvl w:ilvl="1">
      <w:lvlJc w:val="left"/>
      <w:lvlText w:val="(%2)"/>
      <w:numFmt w:val="lowerRoman"/>
      <w:start w:val="1"/>
    </w:lvl>
  </w:abstractNum>
  <w:abstractNum w:abstractNumId="116">
    <w:nsid w:val="4DF72E4E"/>
    <w:multiLevelType w:val="hybridMultilevel"/>
    <w:lvl w:ilvl="0">
      <w:lvlJc w:val="left"/>
      <w:lvlText w:val="(%1)"/>
      <w:numFmt w:val="decimal"/>
      <w:start w:val="2"/>
    </w:lvl>
  </w:abstractNum>
  <w:abstractNum w:abstractNumId="117">
    <w:nsid w:val="5046B5A9"/>
    <w:multiLevelType w:val="hybridMultilevel"/>
    <w:lvl w:ilvl="0">
      <w:lvlJc w:val="left"/>
      <w:lvlText w:val="%1."/>
      <w:numFmt w:val="decimal"/>
      <w:start w:val="25"/>
    </w:lvl>
  </w:abstractNum>
  <w:abstractNum w:abstractNumId="118">
    <w:nsid w:val="5D888A08"/>
    <w:multiLevelType w:val="hybridMultilevel"/>
    <w:lvl w:ilvl="0">
      <w:lvlJc w:val="left"/>
      <w:lvlText w:val="(%1)"/>
      <w:numFmt w:val="decimal"/>
      <w:start w:val="1"/>
    </w:lvl>
  </w:abstractNum>
  <w:abstractNum w:abstractNumId="119">
    <w:nsid w:val="2A082C70"/>
    <w:multiLevelType w:val="hybridMultilevel"/>
    <w:lvl w:ilvl="0">
      <w:lvlJc w:val="left"/>
      <w:lvlText w:val="%1."/>
      <w:numFmt w:val="decimal"/>
      <w:start w:val="26"/>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20">
    <w:nsid w:val="5EC6AFD4"/>
    <w:multiLevelType w:val="hybridMultilevel"/>
    <w:lvl w:ilvl="0">
      <w:lvlJc w:val="left"/>
      <w:lvlText w:val="%1."/>
      <w:numFmt w:val="decimal"/>
      <w:start w:val="27"/>
    </w:lvl>
  </w:abstractNum>
  <w:abstractNum w:abstractNumId="121">
    <w:nsid w:val="19E21BB2"/>
    <w:multiLevelType w:val="hybridMultilevel"/>
    <w:lvl w:ilvl="0">
      <w:lvlJc w:val="left"/>
      <w:lvlText w:val="%1."/>
      <w:numFmt w:val="decimal"/>
      <w:start w:val="28"/>
    </w:lvl>
  </w:abstractNum>
  <w:abstractNum w:abstractNumId="122">
    <w:nsid w:val="75E0858A"/>
    <w:multiLevelType w:val="hybridMultilevel"/>
    <w:lvl w:ilvl="0">
      <w:lvlJc w:val="left"/>
      <w:lvlText w:val="(%1)"/>
      <w:numFmt w:val="upperLetter"/>
      <w:start w:val="9"/>
    </w:lvl>
    <w:lvl w:ilvl="1">
      <w:lvlJc w:val="left"/>
      <w:lvlText w:val="(%2)"/>
      <w:numFmt w:val="lowerLetter"/>
      <w:start w:val="1"/>
    </w:lvl>
  </w:abstractNum>
  <w:abstractNum w:abstractNumId="123">
    <w:nsid w:val="57A61A29"/>
    <w:multiLevelType w:val="hybridMultilevel"/>
    <w:lvl w:ilvl="0">
      <w:lvlJc w:val="left"/>
      <w:lvlText w:val="(%1)"/>
      <w:numFmt w:val="decimal"/>
      <w:start w:val="2"/>
    </w:lvl>
  </w:abstractNum>
  <w:abstractNum w:abstractNumId="124">
    <w:nsid w:val="5399C654"/>
    <w:multiLevelType w:val="hybridMultilevel"/>
    <w:lvl w:ilvl="0">
      <w:lvlJc w:val="left"/>
      <w:lvlText w:val="(%1)"/>
      <w:numFmt w:val="decimal"/>
      <w:start w:val="1"/>
    </w:lvl>
  </w:abstractNum>
  <w:abstractNum w:abstractNumId="125">
    <w:nsid w:val="20EE1348"/>
    <w:multiLevelType w:val="hybridMultilevel"/>
    <w:lvl w:ilvl="0">
      <w:lvlJc w:val="left"/>
      <w:lvlText w:val="(%1)"/>
      <w:numFmt w:val="decimal"/>
      <w:start w:val="11"/>
    </w:lvl>
  </w:abstractNum>
  <w:abstractNum w:abstractNumId="126">
    <w:nsid w:val="4427069A"/>
    <w:multiLevelType w:val="hybridMultilevel"/>
    <w:lvl w:ilvl="0">
      <w:lvlJc w:val="left"/>
      <w:lvlText w:val="(%1)"/>
      <w:numFmt w:val="decimal"/>
      <w:start w:val="1"/>
    </w:lvl>
  </w:abstractNum>
  <w:abstractNum w:abstractNumId="127">
    <w:nsid w:val="B37E80A"/>
    <w:multiLevelType w:val="hybridMultilevel"/>
    <w:lvl w:ilvl="0">
      <w:lvlJc w:val="left"/>
      <w:lvlText w:val="(%1)"/>
      <w:numFmt w:val="upperLetter"/>
      <w:start w:val="1"/>
    </w:lvl>
  </w:abstractNum>
  <w:abstractNum w:abstractNumId="128">
    <w:nsid w:val="2157F6BC"/>
    <w:multiLevelType w:val="hybridMultilevel"/>
    <w:lvl w:ilvl="0">
      <w:lvlJc w:val="left"/>
      <w:lvlText w:val="(%1)"/>
      <w:numFmt w:val="decimal"/>
      <w:start w:val="2"/>
    </w:lvl>
    <w:lvl w:ilvl="1">
      <w:lvlJc w:val="left"/>
      <w:lvlText w:val="(%2)"/>
      <w:numFmt w:val="lowerLetter"/>
      <w:start w:val="1"/>
    </w:lvl>
  </w:abstractNum>
  <w:abstractNum w:abstractNumId="129">
    <w:nsid w:val="704E1DD5"/>
    <w:multiLevelType w:val="hybridMultilevel"/>
    <w:lvl w:ilvl="0">
      <w:lvlJc w:val="left"/>
      <w:lvlText w:val="(%1)"/>
      <w:numFmt w:val="decimal"/>
      <w:start w:val="1"/>
    </w:lvl>
  </w:abstractNum>
  <w:abstractNum w:abstractNumId="130">
    <w:nsid w:val="57D2F10E"/>
    <w:multiLevelType w:val="hybridMultilevel"/>
    <w:lvl w:ilvl="0">
      <w:lvlJc w:val="left"/>
      <w:lvlText w:val="(%1)"/>
      <w:numFmt w:val="decimal"/>
      <w:start w:val="1"/>
    </w:lvl>
  </w:abstractNum>
  <w:abstractNum w:abstractNumId="131">
    <w:nsid w:val="BFFAE18"/>
    <w:multiLevelType w:val="hybridMultilevel"/>
    <w:lvl w:ilvl="0">
      <w:lvlJc w:val="left"/>
      <w:lvlText w:val="(%1)"/>
      <w:numFmt w:val="decimal"/>
      <w:start w:val="4"/>
    </w:lvl>
    <w:lvl w:ilvl="1">
      <w:lvlJc w:val="left"/>
      <w:lvlText w:val="(%2)"/>
      <w:numFmt w:val="lowerLetter"/>
      <w:start w:val="1"/>
    </w:lvl>
  </w:abstractNum>
  <w:abstractNum w:abstractNumId="132">
    <w:nsid w:val="E3E47A8"/>
    <w:multiLevelType w:val="hybridMultilevel"/>
    <w:lvl w:ilvl="0">
      <w:lvlJc w:val="left"/>
      <w:lvlText w:val="(%1)"/>
      <w:numFmt w:val="lowerLetter"/>
      <w:start w:val="2"/>
    </w:lvl>
  </w:abstractNum>
  <w:abstractNum w:abstractNumId="133">
    <w:nsid w:val="2E48F044"/>
    <w:multiLevelType w:val="hybridMultilevel"/>
    <w:lvl w:ilvl="0">
      <w:lvlJc w:val="left"/>
      <w:lvlText w:val="(%1)"/>
      <w:numFmt w:val="lowerLetter"/>
      <w:start w:val="4"/>
    </w:lvl>
  </w:abstractNum>
  <w:abstractNum w:abstractNumId="134">
    <w:nsid w:val="49D0FEAC"/>
    <w:multiLevelType w:val="hybridMultilevel"/>
    <w:lvl w:ilvl="0">
      <w:lvlJc w:val="left"/>
      <w:lvlText w:val="(%1)"/>
      <w:numFmt w:val="lowerLetter"/>
      <w:start w:val="6"/>
    </w:lvl>
  </w:abstractNum>
  <w:abstractNum w:abstractNumId="135">
    <w:nsid w:val="4BEE5A5B"/>
    <w:multiLevelType w:val="hybridMultilevel"/>
    <w:lvl w:ilvl="0">
      <w:lvlJc w:val="left"/>
      <w:lvlText w:val="(%1)"/>
      <w:numFmt w:val="decimal"/>
      <w:start w:val="5"/>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2026-11-05T05:18:13Z</dcterms:created>
  <dcterms:modified xsi:type="dcterms:W3CDTF">2026-11-05T05:18:13Z</dcterms:modified>
</cp:coreProperties>
</file>