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ADAR1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InMed Pharmaceuticals Inc.</w:t>
              </w:r>
            </w:hyperlink>
            <w:r>
              <w:rPr/>
              <w:t xml:space="preserve"> [ </w:t>
            </w:r>
            <w:r>
              <w:rPr>
                <w:rFonts w:ascii="Times;serif" w:hAnsi="Times;serif"/>
                <w:color w:val="0000FF"/>
                <w:sz w:val="24"/>
                <w:shd w:fill="FFFFFF" w:val="clear"/>
              </w:rPr>
              <w:t>INM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830"/>
        <w:gridCol w:w="441"/>
        <w:gridCol w:w="880"/>
        <w:gridCol w:w="1141"/>
        <w:gridCol w:w="981"/>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946,488</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w:t>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8,021</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954,509</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w:t>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984</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1.3219</w:t>
            </w:r>
            <w:r>
              <w:rPr>
                <w:rFonts w:ascii="Times;serif" w:hAnsi="Times;serif"/>
                <w:color w:val="008000"/>
                <w:position w:val="7"/>
                <w:sz w:val="16"/>
                <w:sz w:val="20"/>
                <w:shd w:fill="FFFFFF" w:val="clear"/>
              </w:rPr>
              <w:t>(1)</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955,493</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ADAR1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Schneeberger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is a weighted average price. These shares were purchased in multiple transactions at prices ranging from $1.3200 to $1.3300, inclusive. Each Reporting Person undertakes to provide to InMed Pharmaceuticals Inc., any security holder of InMed Pharmaceuticals Inc.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owned directly by private investment funds managed by ADAR1 Capital Management, LLC, and may be deemed to be indirectly beneficially owned by (i) ADAR1 Capital Management, LLC and (ii) Daniel Schneeberger, the sole manager of ADAR1 Capital Management,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For purposes of Section 16 of the Securities Exchange Act of 1934, as amended, each Reporting Person disclaims beneficial ownership of any such securities, except to the extent of his/its pecuniary interest therein, if any, and this report shall not be deemed an admission that such Reporting Person is the beneficial owner of such securities for purposes of Section 16 or otherwise.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ADAR1 Capital Management, LLC By: Daniel Schneeberger, Manager /s/ Daniel Schneeberger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Schneeberger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0272" TargetMode="External"/><Relationship Id="rId5" Type="http://schemas.openxmlformats.org/officeDocument/2006/relationships/hyperlink" Target="http://www.sec.gov/cgi-bin/browse-edgar?action=getcompany&amp;CIK=00017283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40272" TargetMode="External"/><Relationship Id="rId9" Type="http://schemas.openxmlformats.org/officeDocument/2006/relationships/hyperlink" Target="http://www.sec.gov/cgi-bin/browse-edgar?action=getcompany&amp;CIK=0001861120"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829</Words>
  <Characters>4550</Characters>
  <CharactersWithSpaces>5261</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