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InMed Pharmaceuticals Inc.</w:t>
      </w:r>
    </w:p>
    <w:p>
      <w:pPr>
        <w:jc w:val="right"/>
        <w:spacing w:after="0" w:line="229" w:lineRule="auto"/>
        <w:rPr>
          <w:sz w:val="20"/>
          <w:szCs w:val="20"/>
          <w:color w:val="auto"/>
        </w:rPr>
      </w:pPr>
      <w:r>
        <w:rPr>
          <w:rFonts w:ascii="Arial" w:cs="Arial" w:eastAsia="Arial" w:hAnsi="Arial"/>
          <w:sz w:val="20"/>
          <w:szCs w:val="20"/>
          <w:color w:val="auto"/>
        </w:rPr>
        <w:t>pursuant to Rule 425 under the Securities Act of 1933</w:t>
      </w:r>
    </w:p>
    <w:p>
      <w:pPr>
        <w:jc w:val="right"/>
        <w:spacing w:after="0" w:line="226" w:lineRule="auto"/>
        <w:rPr>
          <w:sz w:val="20"/>
          <w:szCs w:val="20"/>
          <w:color w:val="auto"/>
        </w:rPr>
      </w:pPr>
      <w:r>
        <w:rPr>
          <w:rFonts w:ascii="Arial" w:cs="Arial" w:eastAsia="Arial" w:hAnsi="Arial"/>
          <w:sz w:val="20"/>
          <w:szCs w:val="20"/>
          <w:color w:val="auto"/>
        </w:rPr>
        <w:t>and deemed filed pursuant to Rule 14a-12</w:t>
      </w:r>
    </w:p>
    <w:p>
      <w:pPr>
        <w:jc w:val="right"/>
        <w:spacing w:after="0"/>
        <w:rPr>
          <w:sz w:val="20"/>
          <w:szCs w:val="20"/>
          <w:color w:val="auto"/>
        </w:rPr>
      </w:pPr>
      <w:r>
        <w:rPr>
          <w:rFonts w:ascii="Arial" w:cs="Arial" w:eastAsia="Arial" w:hAnsi="Arial"/>
          <w:sz w:val="20"/>
          <w:szCs w:val="20"/>
          <w:color w:val="auto"/>
        </w:rPr>
        <w:t>under the Securities Exchange Act of 1934</w:t>
      </w:r>
    </w:p>
    <w:p>
      <w:pPr>
        <w:spacing w:after="0" w:line="184" w:lineRule="exact"/>
        <w:rPr>
          <w:sz w:val="24"/>
          <w:szCs w:val="24"/>
          <w:color w:val="auto"/>
        </w:rPr>
      </w:pPr>
    </w:p>
    <w:p>
      <w:pPr>
        <w:jc w:val="right"/>
        <w:spacing w:after="0"/>
        <w:rPr>
          <w:sz w:val="20"/>
          <w:szCs w:val="20"/>
          <w:color w:val="auto"/>
        </w:rPr>
      </w:pPr>
      <w:r>
        <w:rPr>
          <w:rFonts w:ascii="Arial" w:cs="Arial" w:eastAsia="Arial" w:hAnsi="Arial"/>
          <w:sz w:val="20"/>
          <w:szCs w:val="20"/>
          <w:color w:val="auto"/>
        </w:rPr>
        <w:t>Subject Company: InMed Pharmaceuticals Inc.</w:t>
      </w:r>
    </w:p>
    <w:p>
      <w:pPr>
        <w:jc w:val="right"/>
        <w:spacing w:after="0" w:line="229" w:lineRule="auto"/>
        <w:rPr>
          <w:sz w:val="20"/>
          <w:szCs w:val="20"/>
          <w:color w:val="auto"/>
        </w:rPr>
      </w:pPr>
      <w:r>
        <w:rPr>
          <w:rFonts w:ascii="Arial" w:cs="Arial" w:eastAsia="Arial" w:hAnsi="Arial"/>
          <w:sz w:val="20"/>
          <w:szCs w:val="20"/>
          <w:color w:val="auto"/>
        </w:rPr>
        <w:t>Commission File No.: 333-297234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0"/>
          <w:szCs w:val="20"/>
          <w:color w:val="auto"/>
        </w:rPr>
        <w:t>Date: October 26, 2026</w:t>
      </w:r>
    </w:p>
    <w:p>
      <w:pPr>
        <w:spacing w:after="0" w:line="184" w:lineRule="exact"/>
        <w:rPr>
          <w:sz w:val="24"/>
          <w:szCs w:val="24"/>
          <w:color w:val="auto"/>
        </w:rPr>
      </w:pPr>
    </w:p>
    <w:p>
      <w:pPr>
        <w:jc w:val="both"/>
        <w:spacing w:after="0" w:line="229" w:lineRule="auto"/>
        <w:rPr>
          <w:sz w:val="20"/>
          <w:szCs w:val="20"/>
          <w:color w:val="auto"/>
        </w:rPr>
      </w:pPr>
      <w:r>
        <w:rPr>
          <w:rFonts w:ascii="Arial" w:cs="Arial" w:eastAsia="Arial" w:hAnsi="Arial"/>
          <w:sz w:val="20"/>
          <w:szCs w:val="20"/>
          <w:color w:val="auto"/>
        </w:rPr>
        <w:t>This filing relates to the proposed transaction pursuant to the terms of that certain Agreement and Plan of Merger and Reorganization dated as of May 19, 2026 (as may be amended from time to time,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by and among InMed Pharmaceuticals Inc., a company incorporated under the laws of the Province of British Columbia (“</w:t>
      </w:r>
      <w:r>
        <w:rPr>
          <w:rFonts w:ascii="Arial" w:cs="Arial" w:eastAsia="Arial" w:hAnsi="Arial"/>
          <w:sz w:val="20"/>
          <w:szCs w:val="20"/>
          <w:u w:val="single" w:color="auto"/>
          <w:color w:val="auto"/>
        </w:rPr>
        <w:t>InMed</w:t>
      </w:r>
      <w:r>
        <w:rPr>
          <w:rFonts w:ascii="Arial" w:cs="Arial" w:eastAsia="Arial" w:hAnsi="Arial"/>
          <w:sz w:val="20"/>
          <w:szCs w:val="20"/>
          <w:color w:val="auto"/>
        </w:rPr>
        <w:t>”), Indigo Merger Sub Corp., a Delaware corporation and a wholly owned subsidiary of InMed (the “</w:t>
      </w:r>
      <w:r>
        <w:rPr>
          <w:rFonts w:ascii="Arial" w:cs="Arial" w:eastAsia="Arial" w:hAnsi="Arial"/>
          <w:sz w:val="20"/>
          <w:szCs w:val="20"/>
          <w:u w:val="single" w:color="auto"/>
          <w:color w:val="auto"/>
        </w:rPr>
        <w:t>First Merger Sub</w:t>
      </w:r>
      <w:r>
        <w:rPr>
          <w:rFonts w:ascii="Arial" w:cs="Arial" w:eastAsia="Arial" w:hAnsi="Arial"/>
          <w:sz w:val="20"/>
          <w:szCs w:val="20"/>
          <w:color w:val="auto"/>
        </w:rPr>
        <w:t>”), Indigo Merger Sub II, LLC, a Delaware limited liability company and a wholly owned subsidiary of InMed (the “</w:t>
      </w:r>
      <w:r>
        <w:rPr>
          <w:rFonts w:ascii="Arial" w:cs="Arial" w:eastAsia="Arial" w:hAnsi="Arial"/>
          <w:sz w:val="20"/>
          <w:szCs w:val="20"/>
          <w:u w:val="single" w:color="auto"/>
          <w:color w:val="auto"/>
        </w:rPr>
        <w:t>Second Merger Sub</w:t>
      </w:r>
      <w:r>
        <w:rPr>
          <w:rFonts w:ascii="Arial" w:cs="Arial" w:eastAsia="Arial" w:hAnsi="Arial"/>
          <w:sz w:val="20"/>
          <w:szCs w:val="20"/>
          <w:color w:val="auto"/>
        </w:rPr>
        <w:t>” and, together with First Merger Sub, the “</w:t>
      </w:r>
      <w:r>
        <w:rPr>
          <w:rFonts w:ascii="Arial" w:cs="Arial" w:eastAsia="Arial" w:hAnsi="Arial"/>
          <w:sz w:val="20"/>
          <w:szCs w:val="20"/>
          <w:u w:val="single" w:color="auto"/>
          <w:color w:val="auto"/>
        </w:rPr>
        <w:t>Merger Subs</w:t>
      </w:r>
      <w:r>
        <w:rPr>
          <w:rFonts w:ascii="Arial" w:cs="Arial" w:eastAsia="Arial" w:hAnsi="Arial"/>
          <w:sz w:val="20"/>
          <w:szCs w:val="20"/>
          <w:color w:val="auto"/>
        </w:rPr>
        <w:t>”), and Mentari Therapeutics, Inc., a Delaware corporation (“</w:t>
      </w:r>
      <w:r>
        <w:rPr>
          <w:rFonts w:ascii="Arial" w:cs="Arial" w:eastAsia="Arial" w:hAnsi="Arial"/>
          <w:sz w:val="20"/>
          <w:szCs w:val="20"/>
          <w:u w:val="single" w:color="auto"/>
          <w:color w:val="auto"/>
        </w:rPr>
        <w:t>Mentari</w:t>
      </w:r>
      <w:r>
        <w:rPr>
          <w:rFonts w:ascii="Arial" w:cs="Arial" w:eastAsia="Arial" w:hAnsi="Arial"/>
          <w:sz w:val="20"/>
          <w:szCs w:val="20"/>
          <w:color w:val="auto"/>
        </w:rPr>
        <w:t>”), pursuant to which, among other matters and subject to the satisfaction or waiver of the conditions set forth in the Merger Agreement, (i) the First Merger Sub will merge with and into Mentari, with Mentari surviving the merger as a wholly owned subsidiary of InMed (the “</w:t>
      </w:r>
      <w:r>
        <w:rPr>
          <w:rFonts w:ascii="Arial" w:cs="Arial" w:eastAsia="Arial" w:hAnsi="Arial"/>
          <w:sz w:val="20"/>
          <w:szCs w:val="20"/>
          <w:u w:val="single" w:color="auto"/>
          <w:color w:val="auto"/>
        </w:rPr>
        <w:t>First Merger</w:t>
      </w:r>
      <w:r>
        <w:rPr>
          <w:rFonts w:ascii="Arial" w:cs="Arial" w:eastAsia="Arial" w:hAnsi="Arial"/>
          <w:sz w:val="20"/>
          <w:szCs w:val="20"/>
          <w:color w:val="auto"/>
        </w:rPr>
        <w:t>”), and (ii) immediately following the First Merger and as part of the same overall transaction as the First Merger, Mentari will merge with and into the Second Merger Sub, with the Second Merger Sub surviving such merger (the “</w:t>
      </w:r>
      <w:r>
        <w:rPr>
          <w:rFonts w:ascii="Arial" w:cs="Arial" w:eastAsia="Arial" w:hAnsi="Arial"/>
          <w:sz w:val="20"/>
          <w:szCs w:val="20"/>
          <w:u w:val="single" w:color="auto"/>
          <w:color w:val="auto"/>
        </w:rPr>
        <w:t>Second Merger</w:t>
      </w:r>
      <w:r>
        <w:rPr>
          <w:rFonts w:ascii="Arial" w:cs="Arial" w:eastAsia="Arial" w:hAnsi="Arial"/>
          <w:sz w:val="20"/>
          <w:szCs w:val="20"/>
          <w:color w:val="auto"/>
        </w:rPr>
        <w:t>” and, together with the First Merger, the “</w:t>
      </w:r>
      <w:r>
        <w:rPr>
          <w:rFonts w:ascii="Arial" w:cs="Arial" w:eastAsia="Arial" w:hAnsi="Arial"/>
          <w:sz w:val="20"/>
          <w:szCs w:val="20"/>
          <w:u w:val="single" w:color="auto"/>
          <w:color w:val="auto"/>
        </w:rPr>
        <w:t>Merger</w:t>
      </w:r>
      <w:r>
        <w:rPr>
          <w:rFonts w:ascii="Arial" w:cs="Arial" w:eastAsia="Arial" w:hAnsi="Arial"/>
          <w:sz w:val="20"/>
          <w:szCs w:val="20"/>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color w:val="auto"/>
        </w:rPr>
        <w:t>On October 26, 2026, InMed published the following communication:</w:t>
      </w:r>
    </w:p>
    <w:p>
      <w:pPr>
        <w:sectPr>
          <w:pgSz w:w="11900" w:h="16838" w:orient="portrait"/>
          <w:cols w:equalWidth="0" w:num="1">
            <w:col w:w="11020"/>
          </w:cols>
          <w:pgMar w:left="440" w:top="226"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INM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834515" cy="977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4515" cy="977265"/>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1800 – 510 West Georgia St.</w:t>
      </w:r>
    </w:p>
    <w:p>
      <w:pPr>
        <w:jc w:val="right"/>
        <w:spacing w:after="0" w:line="229" w:lineRule="auto"/>
        <w:rPr>
          <w:sz w:val="20"/>
          <w:szCs w:val="20"/>
          <w:color w:val="auto"/>
        </w:rPr>
      </w:pPr>
      <w:r>
        <w:rPr>
          <w:rFonts w:ascii="Arial" w:cs="Arial" w:eastAsia="Arial" w:hAnsi="Arial"/>
          <w:sz w:val="20"/>
          <w:szCs w:val="20"/>
          <w:color w:val="auto"/>
        </w:rPr>
        <w:t>Vancouver, BC, Canada V6B 0M3</w:t>
      </w:r>
    </w:p>
    <w:p>
      <w:pPr>
        <w:jc w:val="right"/>
        <w:spacing w:after="0" w:line="226" w:lineRule="auto"/>
        <w:rPr>
          <w:sz w:val="20"/>
          <w:szCs w:val="20"/>
          <w:color w:val="auto"/>
        </w:rPr>
      </w:pPr>
      <w:r>
        <w:rPr>
          <w:rFonts w:ascii="Arial" w:cs="Arial" w:eastAsia="Arial" w:hAnsi="Arial"/>
          <w:sz w:val="20"/>
          <w:szCs w:val="20"/>
          <w:color w:val="auto"/>
        </w:rPr>
        <w:t>Tel: +1.604.669.7207</w:t>
      </w:r>
    </w:p>
    <w:p>
      <w:pPr>
        <w:ind w:left="8240"/>
        <w:spacing w:after="0" w:line="237" w:lineRule="auto"/>
        <w:rPr>
          <w:sz w:val="20"/>
          <w:szCs w:val="20"/>
          <w:color w:val="auto"/>
        </w:rPr>
      </w:pPr>
      <w:r>
        <w:rPr>
          <w:rFonts w:ascii="Arial" w:cs="Arial" w:eastAsia="Arial" w:hAnsi="Arial"/>
          <w:sz w:val="19"/>
          <w:szCs w:val="19"/>
          <w:color w:val="auto"/>
        </w:rPr>
        <w:t>Email: info@inmedpharma.com</w:t>
      </w:r>
    </w:p>
    <w:p>
      <w:pPr>
        <w:ind w:left="8900"/>
        <w:spacing w:after="0"/>
        <w:rPr>
          <w:sz w:val="20"/>
          <w:szCs w:val="20"/>
          <w:color w:val="auto"/>
        </w:rPr>
      </w:pPr>
      <w:r>
        <w:rPr>
          <w:rFonts w:ascii="Arial" w:cs="Arial" w:eastAsia="Arial" w:hAnsi="Arial"/>
          <w:sz w:val="19"/>
          <w:szCs w:val="19"/>
          <w:color w:val="auto"/>
        </w:rPr>
        <w:t>www.inmedpharma.com</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InMed Announces CVR Distribution Record Date in connection with</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Proposed Merger</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Vancouver, British Columbia – October 26, 2026. InMed Pharmaceuticals Inc. (NASDAQ: INM) (“</w:t>
      </w:r>
      <w:r>
        <w:rPr>
          <w:rFonts w:ascii="Arial" w:cs="Arial" w:eastAsia="Arial" w:hAnsi="Arial"/>
          <w:sz w:val="20"/>
          <w:szCs w:val="20"/>
          <w:b w:val="1"/>
          <w:bCs w:val="1"/>
          <w:color w:val="auto"/>
        </w:rPr>
        <w:t>InMed</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 pharmaceutical company focused on developing a pipeline of proprietary small molecule drug candidates for diseases with high unmet medical needs, today announced that, pursuant to the previously announced agreement and plan of merger and reorganization dated May 19, 2026 (as amended, the “</w:t>
      </w:r>
      <w:r>
        <w:rPr>
          <w:rFonts w:ascii="Arial" w:cs="Arial" w:eastAsia="Arial" w:hAnsi="Arial"/>
          <w:sz w:val="20"/>
          <w:szCs w:val="20"/>
          <w:b w:val="1"/>
          <w:bCs w:val="1"/>
          <w:color w:val="auto"/>
        </w:rPr>
        <w:t>Merger Agreement</w:t>
      </w:r>
      <w:r>
        <w:rPr>
          <w:rFonts w:ascii="Arial" w:cs="Arial" w:eastAsia="Arial" w:hAnsi="Arial"/>
          <w:sz w:val="20"/>
          <w:szCs w:val="20"/>
          <w:color w:val="auto"/>
        </w:rPr>
        <w:t>”) providing for the proposed merger (the “</w:t>
      </w:r>
      <w:r>
        <w:rPr>
          <w:rFonts w:ascii="Arial" w:cs="Arial" w:eastAsia="Arial" w:hAnsi="Arial"/>
          <w:sz w:val="20"/>
          <w:szCs w:val="20"/>
          <w:b w:val="1"/>
          <w:bCs w:val="1"/>
          <w:color w:val="auto"/>
        </w:rPr>
        <w:t>Merger</w:t>
      </w:r>
      <w:r>
        <w:rPr>
          <w:rFonts w:ascii="Arial" w:cs="Arial" w:eastAsia="Arial" w:hAnsi="Arial"/>
          <w:sz w:val="20"/>
          <w:szCs w:val="20"/>
          <w:color w:val="auto"/>
        </w:rPr>
        <w:t>”) involving Mentari Therapeutics, Inc. (“</w:t>
      </w:r>
      <w:r>
        <w:rPr>
          <w:rFonts w:ascii="Arial" w:cs="Arial" w:eastAsia="Arial" w:hAnsi="Arial"/>
          <w:sz w:val="20"/>
          <w:szCs w:val="20"/>
          <w:b w:val="1"/>
          <w:bCs w:val="1"/>
          <w:color w:val="auto"/>
        </w:rPr>
        <w:t>Mentari</w:t>
      </w:r>
      <w:r>
        <w:rPr>
          <w:rFonts w:ascii="Arial" w:cs="Arial" w:eastAsia="Arial" w:hAnsi="Arial"/>
          <w:sz w:val="20"/>
          <w:szCs w:val="20"/>
          <w:color w:val="auto"/>
        </w:rPr>
        <w:t>”), it has fixed the close of business on November 5, 2026 (the “</w:t>
      </w:r>
      <w:r>
        <w:rPr>
          <w:rFonts w:ascii="Arial" w:cs="Arial" w:eastAsia="Arial" w:hAnsi="Arial"/>
          <w:sz w:val="20"/>
          <w:szCs w:val="20"/>
          <w:b w:val="1"/>
          <w:bCs w:val="1"/>
          <w:color w:val="auto"/>
        </w:rPr>
        <w:t>CVR</w:t>
      </w:r>
      <w:r>
        <w:rPr>
          <w:rFonts w:ascii="Arial" w:cs="Arial" w:eastAsia="Arial" w:hAnsi="Arial"/>
          <w:sz w:val="20"/>
          <w:szCs w:val="20"/>
          <w:color w:val="auto"/>
        </w:rPr>
        <w:t xml:space="preserve"> </w:t>
      </w:r>
      <w:r>
        <w:rPr>
          <w:rFonts w:ascii="Arial" w:cs="Arial" w:eastAsia="Arial" w:hAnsi="Arial"/>
          <w:sz w:val="20"/>
          <w:szCs w:val="20"/>
          <w:b w:val="1"/>
          <w:bCs w:val="1"/>
          <w:color w:val="auto"/>
        </w:rPr>
        <w:t>Distribution Record Date</w:t>
      </w:r>
      <w:r>
        <w:rPr>
          <w:rFonts w:ascii="Arial" w:cs="Arial" w:eastAsia="Arial" w:hAnsi="Arial"/>
          <w:sz w:val="20"/>
          <w:szCs w:val="20"/>
          <w:color w:val="auto"/>
        </w:rPr>
        <w:t>”) as the record date for the distribution of the contingent value rights (each, a “</w:t>
      </w:r>
      <w:r>
        <w:rPr>
          <w:rFonts w:ascii="Arial" w:cs="Arial" w:eastAsia="Arial" w:hAnsi="Arial"/>
          <w:sz w:val="20"/>
          <w:szCs w:val="20"/>
          <w:b w:val="1"/>
          <w:bCs w:val="1"/>
          <w:color w:val="auto"/>
        </w:rPr>
        <w:t>CVR</w:t>
      </w:r>
      <w:r>
        <w:rPr>
          <w:rFonts w:ascii="Arial" w:cs="Arial" w:eastAsia="Arial" w:hAnsi="Arial"/>
          <w:sz w:val="20"/>
          <w:szCs w:val="20"/>
          <w:color w:val="auto"/>
        </w:rPr>
        <w:t>”) to InMed</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 of record as of the CVR Distribution Record Date in connection with the Merger. The distribution of the CVRs is subject to and conditional upon the approval of shareholders of the Company at the annual general and special meeting of the Company scheduled to be held on November 4, 2026 (the “</w:t>
      </w:r>
      <w:r>
        <w:rPr>
          <w:rFonts w:ascii="Arial" w:cs="Arial" w:eastAsia="Arial" w:hAnsi="Arial"/>
          <w:sz w:val="20"/>
          <w:szCs w:val="20"/>
          <w:b w:val="1"/>
          <w:bCs w:val="1"/>
          <w:color w:val="auto"/>
        </w:rPr>
        <w:t>Meeting</w:t>
      </w:r>
      <w:r>
        <w:rPr>
          <w:rFonts w:ascii="Arial" w:cs="Arial" w:eastAsia="Arial" w:hAnsi="Arial"/>
          <w:sz w:val="20"/>
          <w:szCs w:val="20"/>
          <w:color w:val="auto"/>
        </w:rPr>
        <w:t>”) of Proposal No. 2 (the “</w:t>
      </w:r>
      <w:r>
        <w:rPr>
          <w:rFonts w:ascii="Arial" w:cs="Arial" w:eastAsia="Arial" w:hAnsi="Arial"/>
          <w:sz w:val="20"/>
          <w:szCs w:val="20"/>
          <w:b w:val="1"/>
          <w:bCs w:val="1"/>
          <w:color w:val="auto"/>
        </w:rPr>
        <w:t>Return of Capital</w:t>
      </w:r>
      <w:r>
        <w:rPr>
          <w:rFonts w:ascii="Arial" w:cs="Arial" w:eastAsia="Arial" w:hAnsi="Arial"/>
          <w:sz w:val="20"/>
          <w:szCs w:val="20"/>
          <w:color w:val="auto"/>
        </w:rPr>
        <w:t xml:space="preserve"> </w:t>
      </w:r>
      <w:r>
        <w:rPr>
          <w:rFonts w:ascii="Arial" w:cs="Arial" w:eastAsia="Arial" w:hAnsi="Arial"/>
          <w:sz w:val="20"/>
          <w:szCs w:val="20"/>
          <w:b w:val="1"/>
          <w:bCs w:val="1"/>
          <w:color w:val="auto"/>
        </w:rPr>
        <w:t>Proposal</w:t>
      </w:r>
      <w:r>
        <w:rPr>
          <w:rFonts w:ascii="Arial" w:cs="Arial" w:eastAsia="Arial" w:hAnsi="Arial"/>
          <w:sz w:val="20"/>
          <w:szCs w:val="20"/>
          <w:color w:val="auto"/>
        </w:rPr>
        <w:t>”) described in the Company’s registration statement on Form S-4 that includes a proxy statement/prospectus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a management information circular, which was declared effective by the U.S.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on October 1, 2026.</w:t>
      </w:r>
    </w:p>
    <w:p>
      <w:pPr>
        <w:spacing w:after="0" w:line="16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connection with the Merger and pursuant to a contingent value rights agreement to be entered into on or prior to the closing date of the Merger (the “</w:t>
      </w:r>
      <w:r>
        <w:rPr>
          <w:rFonts w:ascii="Arial" w:cs="Arial" w:eastAsia="Arial" w:hAnsi="Arial"/>
          <w:sz w:val="20"/>
          <w:szCs w:val="20"/>
          <w:b w:val="1"/>
          <w:bCs w:val="1"/>
          <w:color w:val="auto"/>
        </w:rPr>
        <w:t>CVR Agreement</w:t>
      </w:r>
      <w:r>
        <w:rPr>
          <w:rFonts w:ascii="Arial" w:cs="Arial" w:eastAsia="Arial" w:hAnsi="Arial"/>
          <w:sz w:val="20"/>
          <w:szCs w:val="20"/>
          <w:color w:val="auto"/>
        </w:rPr>
        <w:t>”), InMed would issue to shareholders as of the CVR Distribution Record Date one CVR for each outstanding common share in the capital of the Company (each, a “</w:t>
      </w:r>
      <w:r>
        <w:rPr>
          <w:rFonts w:ascii="Arial" w:cs="Arial" w:eastAsia="Arial" w:hAnsi="Arial"/>
          <w:sz w:val="20"/>
          <w:szCs w:val="20"/>
          <w:b w:val="1"/>
          <w:bCs w:val="1"/>
          <w:color w:val="auto"/>
        </w:rPr>
        <w:t>Common Share</w:t>
      </w:r>
      <w:r>
        <w:rPr>
          <w:rFonts w:ascii="Arial" w:cs="Arial" w:eastAsia="Arial" w:hAnsi="Arial"/>
          <w:sz w:val="20"/>
          <w:szCs w:val="20"/>
          <w:color w:val="auto"/>
        </w:rPr>
        <w:t>”) held by such shareholder as of the CVR Distribution Record Date, with each CVR representing the right to receive contingent payments upon the occurrence of certain events set forth in, and subject to and in accordance with the terms of, the CVR Agreement. Investors who purchase Common Shares on Thursday, November 5 are not expected to be holders of record as of the CVR Distribution Record Date. Common Shares to be issued in connection with the surrender of outstanding in-the-money stock options of InMed, as contemplated pursuant to the Merger Agreement, will not entail any corresponding CVR entitlement.</w:t>
      </w:r>
    </w:p>
    <w:p>
      <w:pPr>
        <w:spacing w:after="0" w:line="17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Odyssey Transfer and Trust Company is acting as the rights agent for the CVRs. Shareholders holding their shares in book-entry form or in brokerage accounts need not take any action in connection with the issuance of CVRs. Beneficial holders are encouraged to contact their bank, broker or custodian with any procedural questions.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InMed</w:t>
      </w:r>
    </w:p>
    <w:p>
      <w:pPr>
        <w:spacing w:after="0" w:line="204"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 xml:space="preserve">InMed Pharmaceuticals is a pharmaceutical company focused on developing a pipeline of proprietary small molecule drug candidates targeting the CB1/CB2 receptors. InMed’s pipeline consists of three separate programs in the treatment of Alzheimer’s, ocular and dermatological indications. For more information, visit </w:t>
      </w:r>
      <w:r>
        <w:rPr>
          <w:rFonts w:ascii="Arial" w:cs="Arial" w:eastAsia="Arial" w:hAnsi="Arial"/>
          <w:sz w:val="20"/>
          <w:szCs w:val="20"/>
          <w:u w:val="single" w:color="auto"/>
          <w:color w:val="0000FF"/>
        </w:rPr>
        <w:t>www.inmedpharma.com</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ectPr>
          <w:pgSz w:w="11900" w:h="16838" w:orient="portrait"/>
          <w:cols w:equalWidth="0" w:num="1">
            <w:col w:w="11020"/>
          </w:cols>
          <w:pgMar w:left="440" w:top="26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Colin Clancy</w:t>
      </w:r>
    </w:p>
    <w:p>
      <w:pPr>
        <w:ind w:left="4"/>
        <w:spacing w:after="0" w:line="229" w:lineRule="auto"/>
        <w:rPr>
          <w:sz w:val="20"/>
          <w:szCs w:val="20"/>
          <w:color w:val="auto"/>
        </w:rPr>
      </w:pPr>
      <w:r>
        <w:rPr>
          <w:rFonts w:ascii="Arial" w:cs="Arial" w:eastAsia="Arial" w:hAnsi="Arial"/>
          <w:sz w:val="20"/>
          <w:szCs w:val="20"/>
          <w:color w:val="auto"/>
        </w:rPr>
        <w:t>Vice President, Investor Relations</w:t>
      </w:r>
    </w:p>
    <w:p>
      <w:pPr>
        <w:ind w:left="4"/>
        <w:spacing w:after="0" w:line="226" w:lineRule="auto"/>
        <w:rPr>
          <w:sz w:val="20"/>
          <w:szCs w:val="20"/>
          <w:color w:val="auto"/>
        </w:rPr>
      </w:pPr>
      <w:r>
        <w:rPr>
          <w:rFonts w:ascii="Arial" w:cs="Arial" w:eastAsia="Arial" w:hAnsi="Arial"/>
          <w:sz w:val="20"/>
          <w:szCs w:val="20"/>
          <w:color w:val="auto"/>
        </w:rPr>
        <w:t>and Corporate Communications</w:t>
      </w:r>
    </w:p>
    <w:p>
      <w:pPr>
        <w:ind w:left="4"/>
        <w:spacing w:after="0" w:line="225" w:lineRule="auto"/>
        <w:rPr>
          <w:sz w:val="20"/>
          <w:szCs w:val="20"/>
          <w:color w:val="auto"/>
        </w:rPr>
      </w:pPr>
      <w:r>
        <w:rPr>
          <w:rFonts w:ascii="Arial" w:cs="Arial" w:eastAsia="Arial" w:hAnsi="Arial"/>
          <w:sz w:val="20"/>
          <w:szCs w:val="20"/>
          <w:color w:val="auto"/>
        </w:rPr>
        <w:t>T: +1 604 416 0999</w:t>
      </w:r>
    </w:p>
    <w:p>
      <w:pPr>
        <w:ind w:left="244" w:hanging="244"/>
        <w:spacing w:after="0"/>
        <w:tabs>
          <w:tab w:leader="none" w:pos="244"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0000FF"/>
        </w:rPr>
        <w:t>ir@inmedpharma.com</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Cautionary Note Regarding Forward-Looking Information</w:t>
      </w:r>
    </w:p>
    <w:p>
      <w:pPr>
        <w:spacing w:after="0" w:line="204" w:lineRule="exact"/>
        <w:rPr>
          <w:sz w:val="20"/>
          <w:szCs w:val="20"/>
          <w:color w:val="auto"/>
        </w:rPr>
      </w:pPr>
    </w:p>
    <w:p>
      <w:pPr>
        <w:jc w:val="both"/>
        <w:ind w:left="4"/>
        <w:spacing w:after="0" w:line="228" w:lineRule="auto"/>
        <w:rPr>
          <w:sz w:val="20"/>
          <w:szCs w:val="20"/>
          <w:color w:val="auto"/>
        </w:rPr>
      </w:pPr>
      <w:r>
        <w:rPr>
          <w:rFonts w:ascii="Arial" w:cs="Arial" w:eastAsia="Arial" w:hAnsi="Arial"/>
          <w:sz w:val="20"/>
          <w:szCs w:val="20"/>
          <w:color w:val="auto"/>
        </w:rPr>
        <w:t>This news release contains “forward-looking information” and “forward-looking statements” (collectively, “forward-looking information”) within the meaning of applicable securities laws. Forward-looking statements are frequently, but not always, identified by words such as “expects”, “anticipates”, “believes”, “intends”, “potential”, “possible”, “would” and similar expressions. Such statements, based as they are on current expectations of management, inherently involve numerous risks, uncertainties and assumptions, known and unknown, many of which are beyond our control.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news release includes, but is not limited to, statements about: the date of the Meeting and approval of the Return of Capital Proposal; the CVR Distribution Record Date; and the CVR Agreement and the issuance of, and contingent payments (if any) with respect to, the CVRs, including the absence of any CVR entitlement for Common Shares issued upon the surrender of InMed stock options and the absence of any action required of shareholders in connection with the issuance of CVRs. With respect to the forward-looking information contained in this news release, InMed has made numerous assumptions regarding, among other things: the ability to obtain all necessary regulatory approvals on a timely basis, or at all; the satisfaction or waiver of the conditions to the completion of the proposed Merger, including the receipt of required shareholder and stockholder approvals; and continued economic and market stability. While InMed considers these assumptions to be reasonable, these assumptions are inherently subject to significant business, economic, competitive, market and social uncertainties and contingencies.</w:t>
      </w:r>
    </w:p>
    <w:p>
      <w:pPr>
        <w:spacing w:after="0" w:line="174" w:lineRule="exact"/>
        <w:rPr>
          <w:sz w:val="20"/>
          <w:szCs w:val="20"/>
          <w:color w:val="auto"/>
        </w:rPr>
      </w:pPr>
    </w:p>
    <w:p>
      <w:pPr>
        <w:jc w:val="both"/>
        <w:ind w:left="4"/>
        <w:spacing w:after="0" w:line="229" w:lineRule="auto"/>
        <w:rPr>
          <w:sz w:val="20"/>
          <w:szCs w:val="20"/>
          <w:color w:val="auto"/>
        </w:rPr>
      </w:pPr>
      <w:r>
        <w:rPr>
          <w:rFonts w:ascii="Arial" w:cs="Arial" w:eastAsia="Arial" w:hAnsi="Arial"/>
          <w:sz w:val="20"/>
          <w:szCs w:val="20"/>
          <w:color w:val="auto"/>
        </w:rPr>
        <w:t xml:space="preserve">Additionally, there are known and unknown risk factors that could cause InMed’s actual results, performance or achievements to be materially different from any future results, performance or achievements expressed or implied by the forward-looking information contained herein. These risks and uncertainties include, but are not limited to, risks related to: the Merger may not be completed on the anticipated timeline or at all, the failure to satisfy the conditions to closing, the outcome of preclinical studies and clinical trials, the combined company’s reliance on third parties, protection of intellectual property, the CVR Distribution Record Date or the closing date of the Merger changing, approval of the Return of Capital Proposal, and whether any CVR payments are actually ever made. Should one or more of these risks or uncertainties materialize, or should any of InMed’s, Mentari’s or the combined company’s assumptions prove incorrect, actual results may vary in material respects from those projected in these forward-looking statements. A complete discussion of the risks and uncertainties facing InMed’s stand-alone business is disclosed in InMed’s Annual Report on Form 10-K, as may be updated from time to time by InMed’s Quarterly Reports on Form 10-Q and other filings with the SEC available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78"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20"/>
          <w:szCs w:val="20"/>
          <w:color w:val="auto"/>
        </w:rPr>
        <w:t>All forward-looking information herein is qualified in its entirety by this cautionary statement, and InMed disclaims any obligation to revise or update any such forward-looking information or to</w:t>
      </w:r>
    </w:p>
    <w:p>
      <w:pPr>
        <w:sectPr>
          <w:pgSz w:w="11900" w:h="16838" w:orient="portrait"/>
          <w:cols w:equalWidth="0" w:num="1">
            <w:col w:w="11024"/>
          </w:cols>
          <w:pgMar w:left="436" w:top="266" w:right="439" w:bottom="1440" w:gutter="0" w:footer="0" w:header="0"/>
        </w:sectPr>
      </w:pPr>
    </w:p>
    <w:bookmarkStart w:id="3" w:name="page4"/>
    <w:bookmarkEnd w:id="3"/>
    <w:p>
      <w:pPr>
        <w:jc w:val="both"/>
        <w:ind w:right="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publicly announce the result of any revisions to any of the forward-looking information contained herein to reflect future results, events or developments, except as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communication is for informational purposes only and does not constitute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Without limiting the foregoing, this communication does not constitute an offer to sell, or the solicitation of an offer to buy, any securities in connection with any private placement or other financing by Mentari or InMed. Any such securities have not been and will not be registered under the Securities Act of 1933 (the “</w:t>
      </w:r>
      <w:r>
        <w:rPr>
          <w:rFonts w:ascii="Arial" w:cs="Arial" w:eastAsia="Arial" w:hAnsi="Arial"/>
          <w:sz w:val="20"/>
          <w:szCs w:val="20"/>
          <w:b w:val="1"/>
          <w:bCs w:val="1"/>
          <w:color w:val="auto"/>
        </w:rPr>
        <w:t>Securities Act</w:t>
      </w:r>
      <w:r>
        <w:rPr>
          <w:rFonts w:ascii="Arial" w:cs="Arial" w:eastAsia="Arial" w:hAnsi="Arial"/>
          <w:sz w:val="20"/>
          <w:szCs w:val="20"/>
          <w:color w:val="auto"/>
        </w:rPr>
        <w:t>”) or any state securities laws and may not be offered or sold in the United States absent registration or an applicable exemption from registration. No offering of securities shall be made except by means of a prospectus meeting the requirements of Section 10 of the Securities Act or an applicable exemption therefrom.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 About the Merger and Where to Find It</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In connection with the proposed merger, InMed has filed with the SEC a registration statement on Form S-4 that includes a proxy statement/prospectus of InMed and a management information circular and will file other relevant documents with the SEC and applicable Canadian securities regulators. The Form S-4 was declared effective on October 1, 2026, and InMed has mailed a definitive proxy statement/prospectus and management information circular to its shareholders. INVESTORS AND SECURITYHOLDERS OF INMED AND MENTARI ARE URGED TO READ THE FORM S-4, THE PROXY STATEMENT/PROSPECTUS AND MANAGEMENT INFORMATION CIRCULAR (INCLUDING ALL AMENDMENTS AND SUPPLEMENTS) AND ALL OTHER RELEVANT DOCUMENTS FILED OR TO BE FILED WITH THE SEC AND CANADIAN SECURITIES REGULATORS, CAREFULLY AND IN THEIR ENTIRETY WHEN THEY BECOME AVAILABLE, BECAUSE THEY CONTAIN OR WILL CONTAIN IMPORTANT INFORMATION ABOUT INMED, MENTARI, THE MERGER AND RELATED MATTERS. Investors and securityholders may obtain free copies of these documents (when available) through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xml:space="preserv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or from InMed at inmedpharma.com/investors.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InMed, Mentari and their respective directors and executive officers may be deemed to be participants in the solicitation of proxies from InMed’s shareholders and Mentari’s stockholders in connection with the proposed Merger. Information regarding InMed’s directors and executive officers and a description of their direct and indirect interests, by security holdings or otherwise, is set forth in InMed’s most recent annual report on Form 10-K and its other filings with the SEC and on SEDAR+. Additional information regarding the participants and their interests is or will be contained in the proxy statement/prospectus and management information circular and other relevant materials filed or to be filed with the SEC and Canadian securities regulators. These documents may be obtained free of charge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communication contains “forward-looking statements” within the meaning of Section 27A of the Securities Act of 1933, as amended (the “Securities Act”), and Section 21E of the Securities Exchange Act of 1934, as amended, including, without limitation, statements regarding the proposed merger with Mentari, including the anticipated timing and completion of the merger and other contemplated transactions; the date of the Meeting and approval of the Return of Capital Proposal; the CVR Distribution Record Date; and the CVR Agreement and the issuance of, and contingent payments (if any) with respect to, the CVRs, including the absence of any CVR entitlement for Common Shares issued upon the surrender of InMed stock options and the absence of any action required of shareholders in connection with the issuance of CVRs. Words such as “anticipate,” “believe,” “expect,” “intend,” “plan,” “potential,” “will,” “would” and similar expressions identify forward-looking statements. These statements are based on current expectations and are subject to risks and uncertainties that could cause actual results to differ materially, including, among others: the risk that the merger may not be completed on the anticipated timeline or at all; the failure to obtain the required InMed shareholder and Mentari stockholder approvals or to satisfy other closing conditions; the risk that any concurrent financing is not completed on the expected terms or at all; the risk that the record date for the CVR distribution or the closing date of the merger changes; the risk that no payments are ever made under the CVRs; risks relating to the redomestication, reverse stock split and Nasdaq continued-listing requirements; risks inherent in preclinical and clinical development, the regulatory review and approval process and commercialization of product candidates; and the other risks described in InMed’s filings with the U.S. Securities and Exchange Commission (the “SEC”) and applicable Canadian securities regulators, including the Form S-4 and the proxy statement/prospectus and management information circular relating to the merger. Because forward-looking statements are inherently subject to risks and uncertainties, you should not rely on them as predictions of future events. Except as required by law, neither InMed nor Mentari undertakes any obligation to update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NEITHER THE SEC NOR ANY STATE SECURITIES COMMISSION HAS APPROVED OR DISAPPROVED OF THE SECURITIES OR DETERMINED IF THIS COMMUNICATION IS TRUTHFUL OR COMPLETE.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 About the Proposed Transaction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the proposed merger, InMed has filed with the SEC a registration statement on Form S-4 that includes a proxy statement/prospectus of InMed and a management information circular and will file other relevant documents with the SEC and applicable Canadian securities regulators. The Form S-4 was declared effective on October 1, 2026, and InMed has mailed a</w:t>
      </w:r>
    </w:p>
    <w:p>
      <w:pPr>
        <w:sectPr>
          <w:pgSz w:w="11900" w:h="16838" w:orient="portrait"/>
          <w:cols w:equalWidth="0" w:num="1">
            <w:col w:w="11000"/>
          </w:cols>
          <w:pgMar w:left="440" w:top="264" w:right="459" w:bottom="1440" w:gutter="0" w:footer="0" w:header="0"/>
        </w:sectPr>
      </w:pPr>
    </w:p>
    <w:bookmarkStart w:id="5" w:name="page6"/>
    <w:bookmarkEnd w:id="5"/>
    <w:p>
      <w:pPr>
        <w:jc w:val="both"/>
        <w:spacing w:after="0" w:line="2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proxy statement/prospectus and management information circular to its shareholders. INVESTORS AND SECURITYHOLDERS OF INMED ARE URGED TO READ THE FORM S-4, THE PROXY STATEMENT/PROSPECTUS AND MANAGEMENT INFORMATION CIRCULAR (INCLUDING ALL AMENDMENTS AND SUPPLEMENTS) AND ALL OTHER RELEVANT DOCUMENTS FILED OR TO BE FILED WITH THE SEC AND CANADIAN SECURITIES REGULATORS, CAREFULLY AND IN THEIR ENTIRETY WHEN THEY BECOME AVAILABLE, BECAUSE THEY CONTAIN OR WILL CONTAIN IMPORTANT INFORMATION ABOUT INMED, MENTARI, THE MERGER AND RELATED MATTERS. Investors and securityholders may obtain free copies of these documents (when available) through the SEC’s website at www.sec.gov, on SEDAR+ at www.sedarplus.ca, or from InMed at inmedpharma.com/investors.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InMed, Mentari and their respective directors and executive officers may be deemed to be participants in the solicitation of proxies from InMed’s shareholders and Mentari’s stockholders in connection with the proposed merger. Information regarding InMed’s directors and executive officers and a description of their direct and indirect interests, by security holdings or otherwise, is set forth in InMed’s most recent annual report on Form 10-K and its other filings with the SEC and on SEDAR+. Additional information regarding the participants and their interests is or will be contained in the proxy statement/prospectus and management information circular and other relevant materials filed or to be filed with the SEC and Canadian securities regulators. These documents may be obtained free of charge as described above.</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2026-10-27T06:19:01Z</dcterms:created>
  <dcterms:modified xsi:type="dcterms:W3CDTF">2026-10-27T06:19:01Z</dcterms:modified>
</cp:coreProperties>
</file>